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rPr>
          <w:rFonts w:ascii="仿宋_GB2312" w:eastAsia="仿宋_GB2312"/>
          <w:sz w:val="44"/>
          <w:szCs w:val="44"/>
        </w:rPr>
      </w:pPr>
    </w:p>
    <w:p>
      <w:pPr>
        <w:spacing w:line="660" w:lineRule="exact"/>
        <w:rPr>
          <w:rFonts w:ascii="仿宋_GB2312" w:eastAsia="仿宋_GB2312"/>
          <w:sz w:val="44"/>
          <w:szCs w:val="44"/>
        </w:rPr>
      </w:pPr>
    </w:p>
    <w:p>
      <w:pPr>
        <w:spacing w:line="660" w:lineRule="exact"/>
        <w:rPr>
          <w:rFonts w:ascii="仿宋_GB2312" w:eastAsia="仿宋_GB2312"/>
          <w:sz w:val="44"/>
          <w:szCs w:val="44"/>
        </w:rPr>
      </w:pPr>
    </w:p>
    <w:p>
      <w:pPr>
        <w:spacing w:line="1200" w:lineRule="exact"/>
        <w:jc w:val="center"/>
        <w:rPr>
          <w:rFonts w:ascii="方正小标宋简体" w:hAnsi="方正小标宋简体" w:eastAsia="方正小标宋简体" w:cs="方正小标宋简体"/>
          <w:bCs/>
          <w:color w:val="FF0000"/>
          <w:sz w:val="44"/>
        </w:rPr>
      </w:pPr>
      <w:r>
        <w:rPr>
          <w:rFonts w:hint="eastAsia" w:ascii="方正小标宋简体" w:hAnsi="方正小标宋简体" w:eastAsia="方正小标宋简体" w:cs="方正小标宋简体"/>
          <w:color w:val="FF0000"/>
          <w:spacing w:val="20"/>
          <w:w w:val="70"/>
          <w:kern w:val="0"/>
          <w:sz w:val="94"/>
          <w:szCs w:val="94"/>
        </w:rPr>
        <w:t>北京市昌平区人民政府文件</w:t>
      </w:r>
    </w:p>
    <w:p>
      <w:pPr>
        <w:adjustRightInd w:val="0"/>
        <w:snapToGrid w:val="0"/>
        <w:spacing w:line="440" w:lineRule="exact"/>
        <w:rPr>
          <w:rFonts w:ascii="仿宋_GB2312" w:eastAsia="仿宋_GB2312"/>
          <w:sz w:val="32"/>
          <w:szCs w:val="32"/>
        </w:rPr>
      </w:pPr>
    </w:p>
    <w:p>
      <w:pPr>
        <w:adjustRightInd w:val="0"/>
        <w:snapToGrid w:val="0"/>
        <w:spacing w:line="440" w:lineRule="exact"/>
        <w:rPr>
          <w:rFonts w:ascii="仿宋_GB2312" w:eastAsia="仿宋_GB2312"/>
          <w:sz w:val="32"/>
          <w:szCs w:val="32"/>
        </w:rPr>
      </w:pPr>
    </w:p>
    <w:p>
      <w:pPr>
        <w:spacing w:line="560" w:lineRule="exact"/>
        <w:jc w:val="center"/>
        <w:rPr>
          <w:rFonts w:ascii="仿宋_GB2312" w:eastAsia="仿宋_GB2312"/>
          <w:color w:val="000000"/>
          <w:sz w:val="32"/>
          <w:szCs w:val="32"/>
        </w:rPr>
      </w:pPr>
      <w:bookmarkStart w:id="0" w:name="_GoBack"/>
      <w:r>
        <w:rPr>
          <w:rFonts w:eastAsia="仿宋_GB2312"/>
          <w:color w:val="000000"/>
          <w:sz w:val="32"/>
          <w:szCs w:val="32"/>
        </w:rPr>
        <w:t>昌政发</w:t>
      </w:r>
      <w:r>
        <w:rPr>
          <w:rFonts w:hint="eastAsia" w:ascii="仿宋_GB2312" w:eastAsia="仿宋_GB2312"/>
          <w:color w:val="000000"/>
          <w:sz w:val="32"/>
          <w:szCs w:val="32"/>
        </w:rPr>
        <w:t>〔2022〕</w:t>
      </w:r>
      <w:r>
        <w:rPr>
          <w:rFonts w:hint="eastAsia" w:ascii="仿宋_GB2312" w:eastAsia="仿宋_GB2312"/>
          <w:color w:val="000000"/>
          <w:sz w:val="32"/>
          <w:szCs w:val="32"/>
          <w:lang w:val="en-US" w:eastAsia="zh-CN"/>
        </w:rPr>
        <w:t>14</w:t>
      </w:r>
      <w:r>
        <w:rPr>
          <w:rFonts w:hint="eastAsia" w:ascii="仿宋_GB2312" w:eastAsia="仿宋_GB2312"/>
          <w:color w:val="000000"/>
          <w:sz w:val="32"/>
          <w:szCs w:val="32"/>
        </w:rPr>
        <w:t>号</w:t>
      </w:r>
      <w:bookmarkEnd w:id="0"/>
    </w:p>
    <w:p>
      <w:pPr>
        <w:spacing w:before="120" w:line="500" w:lineRule="exact"/>
        <w:rPr>
          <w:rFonts w:ascii="仿宋_GB2312" w:eastAsia="仿宋_GB2312"/>
          <w:color w:val="000000"/>
          <w:sz w:val="32"/>
          <w:szCs w:val="32"/>
        </w:rPr>
      </w:pPr>
      <w:r>
        <w:rPr>
          <w:rFonts w:ascii="仿宋_GB2312" w:eastAsia="仿宋_GB2312"/>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14605</wp:posOffset>
                </wp:positionV>
                <wp:extent cx="5590540" cy="0"/>
                <wp:effectExtent l="0" t="10795" r="10160" b="17780"/>
                <wp:wrapNone/>
                <wp:docPr id="1" name="直线 8"/>
                <wp:cNvGraphicFramePr/>
                <a:graphic xmlns:a="http://schemas.openxmlformats.org/drawingml/2006/main">
                  <a:graphicData uri="http://schemas.microsoft.com/office/word/2010/wordprocessingShape">
                    <wps:wsp>
                      <wps:cNvCnPr/>
                      <wps:spPr>
                        <a:xfrm>
                          <a:off x="0" y="0"/>
                          <a:ext cx="559054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直线 8" o:spid="_x0000_s1026" o:spt="20" style="position:absolute;left:0pt;margin-left:0pt;margin-top:1.15pt;height:0pt;width:440.2pt;z-index:251659264;mso-width-relative:page;mso-height-relative:page;" filled="f" stroked="t" coordsize="21600,21600" o:gfxdata="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zIDFHUAAAABAEAAA8AAAAAAAAAAQAgAAAAIgAA&#10;AGRycy9kb3ducmV2LnhtbFBLAQIUABQAAAAIAIdO4kB6hmdl0wEAAJwDAAAOAAAAAAAAAAEAIAAA&#10;ACMBAABkcnMvZTJvRG9jLnhtbFBLBQYAAAAABgAGAFkBAABoBQAAAAA=&#10;">
                <v:fill on="f" focussize="0,0"/>
                <v:stroke weight="1.75pt" color="#FF0000" joinstyle="round"/>
                <v:imagedata o:title=""/>
                <o:lock v:ext="edit" aspectratio="f"/>
              </v:line>
            </w:pict>
          </mc:Fallback>
        </mc:AlternateContent>
      </w:r>
    </w:p>
    <w:p>
      <w:pPr>
        <w:spacing w:line="500" w:lineRule="exact"/>
        <w:jc w:val="center"/>
        <w:rPr>
          <w:rFonts w:ascii="方正小标宋简体" w:eastAsia="方正小标宋简体"/>
          <w:bCs/>
          <w:color w:val="000000"/>
          <w:kern w:val="21"/>
          <w:sz w:val="44"/>
          <w:szCs w:val="44"/>
        </w:rPr>
      </w:pPr>
    </w:p>
    <w:p>
      <w:pPr>
        <w:spacing w:line="520" w:lineRule="exact"/>
        <w:jc w:val="center"/>
        <w:rPr>
          <w:rFonts w:ascii="方正小标宋简体" w:eastAsia="方正小标宋简体"/>
          <w:bCs/>
          <w:color w:val="000000"/>
          <w:kern w:val="21"/>
          <w:sz w:val="44"/>
          <w:szCs w:val="44"/>
        </w:rPr>
      </w:pPr>
      <w:r>
        <w:rPr>
          <w:rFonts w:hint="eastAsia" w:ascii="方正小标宋简体" w:eastAsia="方正小标宋简体"/>
          <w:bCs/>
          <w:color w:val="000000"/>
          <w:kern w:val="21"/>
          <w:sz w:val="44"/>
          <w:szCs w:val="44"/>
        </w:rPr>
        <w:t>北京市昌平区人民政府</w:t>
      </w:r>
    </w:p>
    <w:p>
      <w:pPr>
        <w:spacing w:line="520" w:lineRule="exact"/>
        <w:jc w:val="center"/>
        <w:rPr>
          <w:rFonts w:ascii="方正小标宋简体" w:eastAsia="方正小标宋简体"/>
          <w:bCs/>
          <w:color w:val="000000"/>
          <w:kern w:val="21"/>
          <w:sz w:val="44"/>
          <w:szCs w:val="44"/>
        </w:rPr>
      </w:pPr>
      <w:r>
        <w:rPr>
          <w:rFonts w:hint="eastAsia" w:ascii="方正小标宋简体" w:eastAsia="方正小标宋简体"/>
          <w:bCs/>
          <w:color w:val="000000"/>
          <w:kern w:val="21"/>
          <w:sz w:val="44"/>
          <w:szCs w:val="44"/>
        </w:rPr>
        <w:t>关于印发《昌平区城市更新行动计划</w:t>
      </w:r>
    </w:p>
    <w:p>
      <w:pPr>
        <w:spacing w:line="520" w:lineRule="exact"/>
        <w:jc w:val="center"/>
        <w:rPr>
          <w:rFonts w:ascii="方正小标宋简体" w:eastAsia="方正小标宋简体"/>
          <w:bCs/>
          <w:color w:val="000000"/>
          <w:kern w:val="21"/>
          <w:sz w:val="44"/>
          <w:szCs w:val="44"/>
        </w:rPr>
      </w:pPr>
      <w:r>
        <w:rPr>
          <w:rFonts w:hint="eastAsia" w:ascii="方正小标宋简体" w:eastAsia="方正小标宋简体"/>
          <w:bCs/>
          <w:color w:val="000000"/>
          <w:kern w:val="21"/>
          <w:sz w:val="44"/>
          <w:szCs w:val="44"/>
        </w:rPr>
        <w:t>（2021—2025年）》的通知</w:t>
      </w:r>
    </w:p>
    <w:p>
      <w:pPr>
        <w:pStyle w:val="7"/>
        <w:rPr>
          <w:rFonts w:hAnsi="仿宋_GB2312" w:cs="仿宋_GB2312"/>
          <w:b w:val="0"/>
          <w:bCs/>
        </w:rPr>
      </w:pPr>
    </w:p>
    <w:p>
      <w:pPr>
        <w:pStyle w:val="7"/>
        <w:rPr>
          <w:rFonts w:ascii="楷体_GB2312" w:hAnsi="楷体_GB2312" w:eastAsia="楷体_GB2312" w:cs="楷体_GB2312"/>
          <w:b w:val="0"/>
          <w:bCs/>
        </w:rPr>
      </w:pPr>
      <w:r>
        <w:rPr>
          <w:rFonts w:hint="eastAsia" w:ascii="楷体_GB2312" w:hAnsi="楷体_GB2312" w:eastAsia="楷体_GB2312" w:cs="楷体_GB2312"/>
          <w:b w:val="0"/>
          <w:bCs/>
        </w:rPr>
        <w:t>各镇人民政府、街道办事处，区政府各委、办、局（公司）：</w:t>
      </w:r>
    </w:p>
    <w:p>
      <w:pPr>
        <w:spacing w:line="52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现将《昌平区城市更新行动计划（2021—2025年）》印发给你们，请认真贯彻落实。</w:t>
      </w:r>
    </w:p>
    <w:p>
      <w:pPr>
        <w:pStyle w:val="2"/>
        <w:spacing w:line="520" w:lineRule="exact"/>
        <w:ind w:firstLine="0"/>
      </w:pPr>
    </w:p>
    <w:p>
      <w:pPr>
        <w:pStyle w:val="2"/>
        <w:spacing w:line="520" w:lineRule="exact"/>
        <w:ind w:firstLine="0"/>
      </w:pPr>
    </w:p>
    <w:p>
      <w:pPr>
        <w:pStyle w:val="2"/>
        <w:spacing w:line="520" w:lineRule="exact"/>
        <w:ind w:firstLine="0"/>
      </w:pPr>
    </w:p>
    <w:p>
      <w:pPr>
        <w:spacing w:line="520" w:lineRule="exact"/>
        <w:ind w:firstLine="4800" w:firstLineChars="150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北京市昌平区人民政府</w:t>
      </w:r>
    </w:p>
    <w:p>
      <w:pPr>
        <w:wordWrap w:val="0"/>
        <w:spacing w:line="520" w:lineRule="exact"/>
        <w:ind w:firstLine="640" w:firstLineChars="200"/>
        <w:jc w:val="center"/>
        <w:rPr>
          <w:rFonts w:ascii="楷体_GB2312" w:hAnsi="楷体_GB2312" w:eastAsia="楷体_GB2312" w:cs="楷体_GB2312"/>
          <w:sz w:val="32"/>
          <w:szCs w:val="32"/>
        </w:rPr>
      </w:pPr>
      <w:r>
        <w:rPr>
          <w:rFonts w:hint="eastAsia" w:ascii="楷体_GB2312" w:hAnsi="楷体_GB2312" w:eastAsia="楷体_GB2312" w:cs="楷体_GB2312"/>
          <w:color w:val="000000"/>
          <w:sz w:val="32"/>
          <w:szCs w:val="32"/>
          <w:lang w:val="en-US" w:eastAsia="zh-CN"/>
        </w:rPr>
        <w:t xml:space="preserve">                       </w:t>
      </w:r>
      <w:r>
        <w:rPr>
          <w:rFonts w:hint="eastAsia" w:ascii="楷体_GB2312" w:hAnsi="楷体_GB2312" w:eastAsia="楷体_GB2312" w:cs="楷体_GB2312"/>
          <w:color w:val="000000"/>
          <w:sz w:val="32"/>
          <w:szCs w:val="32"/>
        </w:rPr>
        <w:t>2022年12月</w:t>
      </w:r>
      <w:r>
        <w:rPr>
          <w:rFonts w:hint="eastAsia" w:ascii="楷体_GB2312" w:hAnsi="楷体_GB2312" w:eastAsia="楷体_GB2312" w:cs="楷体_GB2312"/>
          <w:color w:val="000000"/>
          <w:sz w:val="32"/>
          <w:szCs w:val="32"/>
          <w:lang w:val="en-US" w:eastAsia="zh-CN"/>
        </w:rPr>
        <w:t>9</w:t>
      </w:r>
      <w:r>
        <w:rPr>
          <w:rFonts w:hint="eastAsia" w:ascii="楷体_GB2312" w:hAnsi="楷体_GB2312" w:eastAsia="楷体_GB2312" w:cs="楷体_GB2312"/>
          <w:color w:val="000000"/>
          <w:sz w:val="32"/>
          <w:szCs w:val="32"/>
        </w:rPr>
        <w:t xml:space="preserve">日   </w:t>
      </w:r>
    </w:p>
    <w:p>
      <w:pPr>
        <w:tabs>
          <w:tab w:val="left" w:pos="7526"/>
          <w:tab w:val="left" w:pos="7580"/>
        </w:tabs>
        <w:adjustRightInd w:val="0"/>
        <w:snapToGrid w:val="0"/>
        <w:spacing w:line="520" w:lineRule="exact"/>
        <w:ind w:firstLine="640" w:firstLineChars="200"/>
        <w:rPr>
          <w:rFonts w:ascii="方正小标宋简体" w:eastAsia="方正小标宋简体"/>
          <w:bCs/>
          <w:color w:val="000000"/>
          <w:kern w:val="21"/>
          <w:sz w:val="44"/>
          <w:szCs w:val="44"/>
        </w:rPr>
      </w:pPr>
      <w:r>
        <w:rPr>
          <w:rFonts w:hint="eastAsia" w:ascii="仿宋_GB2312" w:hAnsi="仿宋_GB2312" w:eastAsia="仿宋_GB2312" w:cs="仿宋_GB2312"/>
          <w:snapToGrid w:val="0"/>
          <w:kern w:val="0"/>
          <w:sz w:val="32"/>
          <w:szCs w:val="32"/>
        </w:rPr>
        <w:t>（此件主动公开）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方正小标宋简体" w:hAnsi="方正小标宋简体" w:eastAsia="方正小标宋简体" w:cs="方正小标宋简体"/>
          <w:spacing w:val="-8"/>
          <w:sz w:val="44"/>
          <w:szCs w:val="44"/>
        </w:rPr>
      </w:pPr>
      <w:r>
        <w:rPr>
          <w:rFonts w:hint="eastAsia" w:ascii="方正小标宋简体" w:hAnsi="方正小标宋简体" w:eastAsia="方正小标宋简体" w:cs="方正小标宋简体"/>
          <w:spacing w:val="-8"/>
          <w:sz w:val="44"/>
          <w:szCs w:val="44"/>
        </w:rPr>
        <w:t>昌平区城市更新行动计划（2021—2025年）</w:t>
      </w:r>
    </w:p>
    <w:p>
      <w:pPr>
        <w:pStyle w:val="7"/>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Ansi="仿宋_GB2312" w:cs="仿宋_GB2312"/>
          <w:szCs w:val="32"/>
        </w:rPr>
      </w:pP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实施城市更新行动，是推动城市高质量发展的必然要求，对于转变城市开发建设和经济增长方式、提升城市品质、满足人民日益增长的美好生活需要具有重要意义。昌平的城市更新是落实昌平“四区”建设功能定位的城市更新，是减量背景下的城市更新，是满足人民美好生活需要的城市更新。为全面贯彻落实党中央、国务院决策部署和市委、市政府关于城市更新行动的工作要求，结合昌平实际，制定本行动计划。</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黑体"/>
          <w:b w:val="0"/>
          <w:bCs/>
          <w:szCs w:val="32"/>
        </w:rPr>
      </w:pPr>
      <w:r>
        <w:rPr>
          <w:rFonts w:hint="eastAsia" w:ascii="黑体" w:hAnsi="黑体" w:eastAsia="黑体" w:cs="黑体"/>
          <w:b w:val="0"/>
          <w:bCs/>
          <w:szCs w:val="32"/>
        </w:rPr>
        <w:t>一、总体要求</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以习近平新时代中国特色社会主义思想为指导，深入贯彻党的二十大精神，全面落实习近平总书记对北京重要讲话精神，坚持首都城市战略定位，牢固树立以人民为中心的发展思想，以服务首都发展为统领，以推动城</w:t>
      </w:r>
      <w:r>
        <w:rPr>
          <w:rFonts w:hint="eastAsia" w:hAnsi="仿宋_GB2312" w:cs="仿宋_GB2312"/>
          <w:b w:val="0"/>
          <w:bCs/>
          <w:szCs w:val="32"/>
          <w:highlight w:val="none"/>
        </w:rPr>
        <w:t>市现代化和</w:t>
      </w:r>
      <w:r>
        <w:rPr>
          <w:rFonts w:hint="eastAsia" w:hAnsi="仿宋_GB2312" w:cs="仿宋_GB2312"/>
          <w:b w:val="0"/>
          <w:bCs/>
          <w:szCs w:val="32"/>
        </w:rPr>
        <w:t>高质量发展为主题主线，落实《北京市城市更新行动计划（2021—2025年）》《北京市昌平区国民经济和社会发展第十四个五年规划和二〇三五年远景目标纲要》和《昌平分区规划（国土空间规划）（2017年—2035年）》，坚持“留改拆”并举，统筹城市人居环境改善，加大各类资源、要素整合力度，加强体制机制创新，积极稳妥实施城市更新，完善城市功能，提升城市活力和品质，改善民生福祉，引入社会资本，画好城市更新共建共治共享“同心圆”，努力把昌平建设成为北京国际科创中心承载区、改革攻坚开放共赢试验区、城乡治理协调发展先行区、人文宜居生态优美示范区。</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黑体"/>
          <w:b w:val="0"/>
          <w:bCs/>
          <w:szCs w:val="32"/>
        </w:rPr>
      </w:pPr>
      <w:r>
        <w:rPr>
          <w:rFonts w:hint="eastAsia" w:ascii="黑体" w:hAnsi="黑体" w:eastAsia="黑体" w:cs="黑体"/>
          <w:b w:val="0"/>
          <w:bCs/>
          <w:szCs w:val="32"/>
        </w:rPr>
        <w:t>二、工作目标</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通过构建全局统筹、重点突出、试点示范、分类引导的城市更新常态化工作框架，以多元主体利益共享为核心，以全面改造和微改造为主要更新模式，切实推进全区空间格局优化、产业发展升级、服务配套完善、城市风貌提升。分类盘活全区存量资源，进一步完善城市空间结构和功能布局。进一步带动投资落地和产业升级，激发区域发展活力。大力提升综合承载能力与宜居水平，服务保障“四个中心”功能建设，全面提升“四个服务”水平。重点推进政府街周边地区综合整治，以点带面推动城市整体风貌改善，提升城市环境品质。切实改善人居环境和安全条件，不断满足人民群众“七有”“五性”需求。</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黑体"/>
          <w:b w:val="0"/>
          <w:bCs/>
          <w:szCs w:val="32"/>
        </w:rPr>
      </w:pPr>
      <w:r>
        <w:rPr>
          <w:rFonts w:hint="eastAsia" w:ascii="黑体" w:hAnsi="黑体" w:eastAsia="黑体" w:cs="黑体"/>
          <w:b w:val="0"/>
          <w:bCs/>
          <w:szCs w:val="32"/>
        </w:rPr>
        <w:t>三、工作原则</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（一）规划引领，民生优先</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贯彻落实北京城市总体规划、北京市城市更新专项规划、昌平分区规划和控制性详细规划，以街区为单元，查找城市功能、配套设施、空间品质等方面存在的问题，梳理空间资源，确定更新重点，优先保障公共要素，补齐民生短板，改善人居环境。</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（二）促进转型，推动发展</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推动低效产业用地转型升级，整合存量低效产业空间，实现低效用地再利用。低效产业园区和老旧厂房采取以综合整治为主，融合功能改变、加建改建等方式的有机更新手段，为产业转型升级与创新驱动腾挪空间，引导优质新兴产业植入，完善生产服务配套，抢占新兴产业发展制高点，提高产业竞争力。</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（三）公众参与，共建共享</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坚持党建引领，坚持自下而上的更新需求与自上而下的规划引导要求相结合，利用互联网技术手段，搭建公众参与平台，充分发挥“吹哨报到”、接诉即办、责任规划师等制度作用，建立多元平等协商共治机制，引导公众在计划编制、组织实施等全过程参与，形成良性互动氛围。</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（四）政府引导，市场运作</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发挥政府统筹引导作用，建立以区为主、市区镇（街道）三级联动的工作机制，积极争取市级政策支持，探索完善区级激励政策，科学制定行动计划，有序推动项目实施。充分激发市场活力，调动市场主体和产权单位参与城市更新的积极性，采用多种方式引入社会资本，畅通社会资本参与路径，形成多元化更新模式。</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（五）整体统筹，有序推行</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科学制定城市更新年度计划，统筹安排，分期有序推进。坚持实事求是，因地制宜，组织实施过程中不断探索和积极尝试新模式、新路径、新机制，及时发现问题，总结经验做法，以点带面，推动城市更新深入实施。</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黑体"/>
          <w:b w:val="0"/>
          <w:bCs/>
          <w:szCs w:val="32"/>
        </w:rPr>
      </w:pPr>
      <w:r>
        <w:rPr>
          <w:rFonts w:hint="eastAsia" w:ascii="黑体" w:hAnsi="黑体" w:eastAsia="黑体" w:cs="黑体"/>
          <w:b w:val="0"/>
          <w:bCs/>
          <w:szCs w:val="32"/>
        </w:rPr>
        <w:t>四、组织架构</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为切实推动实施城市更新，区委城市工作委员会下设城市更新专项小组，按照市委、区委城市工作委员会部署，协调推进昌平区城市更新各项工作任务落实。</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（一）城市更新专项小组</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主要负责传达贯彻中央、市委及区委关于城市更新的有关文件、会议精神，落实北京市城市更新专项行动计划、专项规划以及城市更新相关规划、土地、财税、金融等配套政策，部署全区年度重点工作并组织实施；定期听取各成员单位推进城市更新重点任务的情况汇报，研究重点难点问题，指导督促工作落实；及时将城市更新的任务计划、进展情况和重要工作事项等，提请区委城市工作委员会研究审议。</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（二）城市更新专项小组工作专班</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专项小组下设推动实施、实施政策、资金支持3个工作专班，负责组织相关成员单位研究推动城市更新重点工作。专班根据工作需要细化具体运行组织规则，可及时调整或增补。</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1.推动实施专班</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主要负责承担专项小组日常事务工作，负责专项小组会议组织、信息报送和协调督查等相关工作；制定城市更新年度任务计划并督促实施，跟踪指导城市更新示范项目；开展调研，及时总结推广工作中的典型经验与做法。</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2.实施政策专班</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主要负责配合市规自委昌平</w:t>
      </w:r>
      <w:r>
        <w:rPr>
          <w:rFonts w:hAnsi="仿宋_GB2312" w:cs="仿宋_GB2312"/>
          <w:b w:val="0"/>
          <w:bCs/>
          <w:szCs w:val="32"/>
        </w:rPr>
        <w:t>分局</w:t>
      </w:r>
      <w:r>
        <w:rPr>
          <w:rFonts w:hint="eastAsia" w:hAnsi="仿宋_GB2312" w:cs="仿宋_GB2312"/>
          <w:b w:val="0"/>
          <w:bCs/>
          <w:szCs w:val="32"/>
        </w:rPr>
        <w:t>研究城市更新规划、土地相关配套政策及标准并组织落实。配合市规自委昌平</w:t>
      </w:r>
      <w:r>
        <w:rPr>
          <w:rFonts w:hAnsi="仿宋_GB2312" w:cs="仿宋_GB2312"/>
          <w:b w:val="0"/>
          <w:bCs/>
          <w:szCs w:val="32"/>
        </w:rPr>
        <w:t>分局</w:t>
      </w:r>
      <w:r>
        <w:rPr>
          <w:rFonts w:hint="eastAsia" w:hAnsi="仿宋_GB2312" w:cs="仿宋_GB2312"/>
          <w:b w:val="0"/>
          <w:bCs/>
          <w:szCs w:val="32"/>
        </w:rPr>
        <w:t>编制城市更新专项规划。研究制定城市更新实施细则，结合实际情况，研究创新城市更新项目土地、规划、产业、资金、管理机制等政策。</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 xml:space="preserve">3.资金支持专班               </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主要负责研究制定城市更新资金筹集方案，完善资金使用效率提升机制，改革创新政府投资、财政补贴等财税制度，鼓励通过社会资本参与等多种方式筹集城市更新资金。</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黑体"/>
          <w:b w:val="0"/>
          <w:bCs/>
          <w:szCs w:val="32"/>
        </w:rPr>
      </w:pPr>
      <w:r>
        <w:rPr>
          <w:rFonts w:hint="eastAsia" w:ascii="黑体" w:hAnsi="黑体" w:eastAsia="黑体" w:cs="黑体"/>
          <w:b w:val="0"/>
          <w:bCs/>
          <w:szCs w:val="32"/>
        </w:rPr>
        <w:t>五、工作内容</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实施城市更新行动，聚焦城市建成区存量空间资源提质增效，将城市更新行动与疏解整治促提升专项行动进行有效衔接，规划利用好疏解腾退的空间资源。全区城市更新行动共7项专项行动计划。</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（一）老旧小区改造</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结合本辖区老旧小区实际，按照“任务制”和“申报制”相结合的方式，实施老旧小区综合整治。合理确定改造计划，完善申请改造诉求集中小区清单制度，统筹安排符合条件老旧小区的改造时序。</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分类实施，突出重点，保障基础类改造有序开展，重点聚焦完善类和提升类改造，明确13项基础类改造内容、11项完善类改造内容和12项提升类改造指引。根据居民诉求将楼内上下水改造、地下涉水管线改造、拆除楼体护栏等单项改造和补建自行车棚、增设电动车充电桩等便民设施作为改造重点，对标宜居示范小区创建标准，确保应改尽改。统筹整合片区资源，支持将有共同改造需求、距离较近的老旧小区统一规划设计，集中成片改造，实现资源和设施共享；支持整合利用小区内地下空间、空闲地、拆违腾退用地，推动适老化公共服务设施和便民服务设施项目建设运营，鼓励老旧住宅楼加装电梯；支持本区内老旧小区改造打包公开招标、公开竞赛与评比，鼓励实施工程总承包，加强改造项目统筹。</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探索老旧小区更新改造项目多主体筹建和微利可持续模式，鼓励社会资本根据居民意愿以市场化方式参与老旧小区综合整治，完善市场化实施机制，大力推广和拓展“昌盛模式”，推动项目“投资+工程总承包+运营”一体化招标和“治理+改造+运营”一体化实施。</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广泛深入开展群众工作，坚持党建引领，推行“有事请找我”党员干部联系服务群众机制，做好入户调查、了解民意、宣传动员等工作；发挥专业力量，完善街区责任规划师、建筑师参与老旧小区改造机制；建立“居民说事”平台，鼓励居民群众、各类业主在老旧小区改造中发挥主责主体作用，坚持居民自愿原则，发挥业主和业主委员会作用，充分调动居民参与改造的积极性，建立健全小区长效管理机制。</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十四五”时期目标任务：到2025年，力争完成全区2000年底前建成需改造的768.1万平方米老旧小区改造任务。重点推进461万平方米市区属商品房的抗震节能和室外环境改造、246.5万平方米市区属房改房的单项和室外环境改造，支持配合央产、军产59.6万平方米的老旧小区改造项目。</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责任单位：区住房城市建设委，市规自委昌平分局，区发展改革委，区财政局，区城市管理委，区回天专班，各镇人民政府、街道办事处。</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（二）危旧楼房改建和简易楼腾退改造</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 xml:space="preserve">加快推进南环里甲25号楼、沙阳路7、8号楼、南口镇兴隆街1、2号楼等3处危旧楼房和简易楼项目改造，保障居民安全。对符合规划要求的危旧楼房，允许通过翻建、改建或适当扩建方式进行改造，具备条件的适当增加建筑规模，配齐厨卫设施，合理利用地下空间、腾退空间和闲置空间补建配套设施。充分学习借鉴“东城区光明楼”等北京城市更新联盟优秀实践案例经验，探索改建资金多主体、多方式的成本共担模式。灵活解决居民安置、房屋产权问题，充分征询居民意见，制定本区危旧楼房改建计划。优化简化审批程序，压缩办理时限，对必要的改造项目开通“绿色通道”。危旧楼房、简易楼改建项目要结合《北京市物业管理条例》的实施，引入规范化、市场化物业管理，形成长效管理机制，保障改造成果。                                                                 </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“十四五”时期目标任务：到2025年，完成南环里甲25号楼、沙阳路7、8号楼、南口镇兴隆街1、2号楼的危旧楼房改建和简易楼腾退改造。</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责任单位：区住房城乡建设委，区发展改革委，区财政局，市规自委昌平分局，区城市管理委，各镇人民政府、街道办事处。</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（三）老旧低效楼宇与传统商业设施改造升级</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鼓励支持老旧低效楼宇更新改造优化升级，结合建设年代、使用功能、建筑面积、闲置率等方面确定老旧楼宇认定标准，制定老旧低效楼宇更新方案，形成更新改造计划清单，因楼施策，确定品质提升型、改变使用功能型、局部更新型、改建租赁型等4类改造模式，探索老旧低效楼宇更新改造项目多主体参与模式，鼓励利用国家金融政策和市场性金融举措，吸引社会资本参与。通过空间疏解、腾挪、置换等方式，深入挖掘存量资源、整合闲置空间，开展老旧低效楼宇“美化工程”，培育精品楼宇，实现硬件“智能化”、软件“个性化”，致力打造安全、智能、绿色的智慧楼宇。鼓励改造补充城市运行保障服务群体宿舍和公寓，促进职住平衡。</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积极发挥商业企业聚集优势，建设高品质商圈。围绕激发传统商业活力、推动现代服务业提质增效、升级街区整体业态品质、发展商文旅多元生态融合等进行全方位改造和升级，进一步释放消费潜力、打造融合消费创新示范区，创新服务供给方式、鼓励发展服务业新业态、新模式。加快数字赋能，推广会员平台、智慧停车等数字应用场景。鼓励多元社会资本参与，助力提升城市活力。完成龙泽、龙德、龙域等传统商圈改造提升工作，加快昌平商圈的改造提升工作进程，助力国际消费中心城市建设。</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“十四五”时期目标任务：一是摸清底数，制定“十四五”期间老旧低效楼宇和传统商业设施改造升级计划。二是按照“一圈一策”原则，推动昌平</w:t>
      </w:r>
      <w:r>
        <w:rPr>
          <w:rFonts w:hAnsi="仿宋_GB2312" w:cs="仿宋_GB2312"/>
          <w:b w:val="0"/>
          <w:bCs/>
          <w:szCs w:val="32"/>
        </w:rPr>
        <w:t>政府街</w:t>
      </w:r>
      <w:r>
        <w:rPr>
          <w:rFonts w:hint="eastAsia" w:hAnsi="仿宋_GB2312" w:cs="仿宋_GB2312"/>
          <w:b w:val="0"/>
          <w:bCs/>
          <w:szCs w:val="32"/>
        </w:rPr>
        <w:t>、鼓楼南北街、立水桥北路示范街区和霍营G区商业综合体等重点商圈改造提升。到2025年，力争完成老旧低效楼宇升级改造阶段性工作；完成昌平、龙德、龙泽、龙域四大商圈等传统商业</w:t>
      </w:r>
      <w:r>
        <w:rPr>
          <w:rFonts w:hAnsi="仿宋_GB2312" w:cs="仿宋_GB2312"/>
          <w:b w:val="0"/>
          <w:bCs/>
          <w:szCs w:val="32"/>
        </w:rPr>
        <w:t>设施</w:t>
      </w:r>
      <w:r>
        <w:rPr>
          <w:rFonts w:hint="eastAsia" w:hAnsi="仿宋_GB2312" w:cs="仿宋_GB2312"/>
          <w:b w:val="0"/>
          <w:bCs/>
          <w:szCs w:val="32"/>
        </w:rPr>
        <w:t>的升级改造，推动北京市国际消费中心城市培育建设。</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责任单位：区商务局，区投促中心，未来科学城管委会，科技园区管委会，市规自委昌平分局，区住房城市建设委，区人防办，区园林绿化局，区回天专班，各镇人民政府、街道办事处。</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（四）低效产业园区腾笼换鸟和老旧厂房更新改造</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全面调查各园区、镇（街道）内具有改造潜力的产业载体，考虑工业用地面积、拆违腾退情况，建立需改造产业载体清单。对重点区域开展产业载体综合评价，研究制定正向激励与反向倒逼机制。建立产业园区规划性质使用正负面清单，试点实行产业载体准入鼓励清单及负面清单管理。加强规划统筹，推进连片成片改造，通过打捆申报、整合改造、园区统筹等方式，推进若干具有较强带动作用的项目形成整体连片效果。制定低效产业园区改造提升专项行动计划，分类推进一批试点项目，探索多元更新途径。按照集中工业园区、零散工业用地、老城区工业地块三类选取试点，推动产业载体不断提质增效。</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研究启动老旧厂房资源调查，科学分类，因类施策，做好保护性利用和创新性改造。重要老旧厂房要列为工业遗产，其保护利用要严格执行国家及本市文物管理有关规定。老旧厂房利用要聚焦打造高精尖科技创新空间，发展高端制造业。优先采用“工改工”方式，在产业用地主导功能不变的前提下实施更新，同时鼓励采用“工改创”等其它方式开展更新。试点推动规模3000平方米以上老旧厂房改造更新。积极推动老旧厂房资源向文化创意产业园区转型，在符合要求前提下，发展经营性用途，建设旅游、文娱、康养等新型消费载体。鼓励通过改建老旧厂房，补充区域基础设施及公共服务设施短板、兴办非营利性公共文化设施。</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“十四五”时期目标任务：一是梳理全区产业载体，完成 “低效”评估工作，建立更新清单。二是持续推进科技园区等集中工业园区低效产业载体转型升级，提升园区创新和服务能力，促进园区产业聚集。三是以北七家3号地集体产业用地项目为试点，通过成立联营公司，研究推进集体产业用地统筹利用路径。四是推动重点项目盘活利用，探索老旧厂房发展文创产业的实施路径，促进产业升级，增强区域活力与竞争力。</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责任单位：未来科学城管委会，科技园区管委会，区发展改革委，市规自委昌平分局，区国资委，区经济信息化局，区住房城乡建设委，区投促中心，区城市管理委，各镇人民政府、街道办事处。</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（五）棚户区更新改造</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以改善群众居住条件为出发点和落脚点，加快推进城镇棚户区改造，实现在途项目逐步销账，统筹推进回龙观“北四村”、沙河镇西沙屯、城南街道化庄社区棚户区改造项目收尾，加快安置房建设、土地入市、安置房去化和成本统筹等工作，实现项目结案；加快推进小沙河项目安置房建设。强化项目融资管理，提高资金使用效率。充分利用棚改专项债，研究资金统筹平衡机制，推进项目分期供地，实现滚动开发。培育棚户区改造项目的商业经济生态，利用资本市场发展项目融资，形成资金良性循环的长效机制。做好与房地产市场有效衔接，棚户区改造实行实物安置和货币化补偿相结合，由棚户区居民自愿选择。统筹安排安置房建设时序，同步启动与棚改项目直接相关的城市基础设施项目的建设工作。</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“十四五”时期目标任务：完成回龙观“北四村”B、E、F、G、H地块项目、沙河镇西沙屯满井西队四个地块项目、小沙河项目安置房、城南街道化庄社区项目安置房等四处棚户区改造项目的销账工作。</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责任单位：区住房城市建设委，市规自委昌平分局，区财政局，区回天专班，各镇人民政府、街道办事处，兴昌公司，未来科学城公司。</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（六）城镇旧城区更新改造</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摸清区内旧城区建筑规模底数，以有机更新为理念，合理有序开展旧城区更新改造。重点关注消除旧城区安全隐患，拆除废弃线杆，完善消火栓、排烟系统、喷淋系统等消防应急基础设施，增设电动自行车集中停放场所和智能充电装置，安装消防知识宣传牌，多途径保障居民生命和财产安全。完善旧城区雨污水、供水及再生水更新改造工作。持续推进居住环境和配套服务改善，补齐养老托育、体育健身等公共服务设施短板，拆除旧城区内违法建筑，优化街巷空间布局与结构，增加公共开放空间。规范出租房屋和流动人口管理，及时全面掌握出租房屋底数和暂住人口情况，努力提高管理水平和服务质量，营造良好社区生态。高度重视历史文化特色保留，对具有保留价值的民居，应予以保留，实行修缮性改造。积极探索改造资金多方共担机制，鼓励产权人自主更新、社会力量参与更新。更新改造完成后，区政府可以购买服务的方式委托物业服务企业或组织其它力量，构建旧城区物业管理长效机制。</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“十四五”时期目标任务：明确改造类型、改造任务和建设时序，启动旧城区综合整治，到2025年完成旧城区的综合整治工作，打造旧城区改造示范样板。</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责任单位：区住房城乡建设委，区城市管理委，市规自委昌平分局，区</w:t>
      </w:r>
      <w:r>
        <w:rPr>
          <w:rFonts w:hAnsi="仿宋_GB2312" w:cs="仿宋_GB2312"/>
          <w:b w:val="0"/>
          <w:bCs/>
          <w:szCs w:val="32"/>
        </w:rPr>
        <w:t>水务局</w:t>
      </w:r>
      <w:r>
        <w:rPr>
          <w:rFonts w:hint="eastAsia" w:hAnsi="仿宋_GB2312" w:cs="仿宋_GB2312"/>
          <w:b w:val="0"/>
          <w:bCs/>
          <w:szCs w:val="32"/>
        </w:rPr>
        <w:t>，区</w:t>
      </w:r>
      <w:r>
        <w:rPr>
          <w:rFonts w:hAnsi="仿宋_GB2312" w:cs="仿宋_GB2312"/>
          <w:b w:val="0"/>
          <w:bCs/>
          <w:szCs w:val="32"/>
        </w:rPr>
        <w:t>人防</w:t>
      </w:r>
      <w:r>
        <w:rPr>
          <w:rFonts w:hint="eastAsia" w:hAnsi="仿宋_GB2312" w:cs="仿宋_GB2312"/>
          <w:b w:val="0"/>
          <w:bCs/>
          <w:szCs w:val="32"/>
        </w:rPr>
        <w:t>办，</w:t>
      </w:r>
      <w:r>
        <w:rPr>
          <w:rFonts w:hAnsi="仿宋_GB2312" w:cs="仿宋_GB2312"/>
          <w:b w:val="0"/>
          <w:bCs/>
          <w:szCs w:val="32"/>
        </w:rPr>
        <w:t>消防</w:t>
      </w:r>
      <w:r>
        <w:rPr>
          <w:rFonts w:hint="eastAsia" w:hAnsi="仿宋_GB2312" w:cs="仿宋_GB2312"/>
          <w:b w:val="0"/>
          <w:bCs/>
          <w:szCs w:val="32"/>
        </w:rPr>
        <w:t>救援</w:t>
      </w:r>
      <w:r>
        <w:rPr>
          <w:rFonts w:hAnsi="仿宋_GB2312" w:cs="仿宋_GB2312"/>
          <w:b w:val="0"/>
          <w:bCs/>
          <w:szCs w:val="32"/>
        </w:rPr>
        <w:t>支队</w:t>
      </w:r>
      <w:r>
        <w:rPr>
          <w:rFonts w:hint="eastAsia" w:hAnsi="仿宋_GB2312" w:cs="仿宋_GB2312"/>
          <w:b w:val="0"/>
          <w:bCs/>
          <w:szCs w:val="32"/>
        </w:rPr>
        <w:t>，相关镇人民政府、街道办事处。</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（七）“微资源”更新改造</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统筹制定改造计划与方案，对“微资源”进行摸底调查，按照“空间类”和“建筑类”分类梳理，形成“微资源”储备库。符合更新改造要求的空间类“微资源”通过“针灸式”“修补式”“渐进式”等更新改造方式，补充社区活动场地、停车位、口袋公园等居民急需的公共空间。建筑类“微资源”改造利用工作协同老旧小区改造同步推进，推广“龙华园锅炉房改造”的成功经验，集约复合利用空间，实现各类设施的扩容提质。探索多元参与社区自治模式，完善社区议事制度，积极带动社区居民参与社区“微改造”行动，发动责任规划师等专业力量，推动“微资源”功能转化，完善基层治理。改造资金在政府支持下由产权单位、居民、社会机构等多主体筹集，鼓励建立专门的社区“微资源”更新基金。</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“十四五”时期目标任务：系统梳理全区“微资源”情况，建设“微资源”储备库。到2025年，完成领秀慧谷A区沙坑小广场、万龙-金达园等项目闲置“微资源”更新改造，提升全区“微资源”的利用效率。</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责任单位：区住房城乡建设委，区国资委，区园林绿化局，区回天专班，各镇人民政府、街道办事处。</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黑体"/>
          <w:b w:val="0"/>
          <w:bCs/>
          <w:szCs w:val="32"/>
        </w:rPr>
      </w:pPr>
      <w:r>
        <w:rPr>
          <w:rFonts w:hint="eastAsia" w:ascii="黑体" w:hAnsi="黑体" w:eastAsia="黑体" w:cs="黑体"/>
          <w:b w:val="0"/>
          <w:bCs/>
          <w:szCs w:val="32"/>
        </w:rPr>
        <w:t>六、项目实施路径</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（一）试点实施单元统筹先行</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结合全区城市更新资源，选定试点实施单元，探索和总结城市更新的方法路径、经验模式，以点带面，为昌平区城市更新行动全面推进提供参考样本。</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以城北街道为试点，将政府街改造为重点项目进行延展，明确其在城北街道整体发展中承担的城市功能，摸清街道配套设施短板，研判街道内存量区域更新改造的可能性，提出更新改造的范围和内容。推动城北街道范围内旧城区和城中村环境治理、老旧小区改造、危旧楼与简易楼腾退改造、老旧低效楼宇与传统商业设施升级改造、老旧厂房的提质增效，促进公共空间与公共设施品质提升。</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以北七家镇为试点，统筹现有低效、空置厂房资源，以镇级统筹利用集体产业用地为契机、以联营公司为主体，探索镇级集体产业用地利用模式。鼓励以微改造的方式，推进片区“工改工”“工改创”新型产业蓬勃发展。</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以南口镇为试点，通过更新改造存量资产，导入业态、实现再开发再利用。以北京平板玻璃集团公司、北京鹿牌都市生活用品有限公司和北京市汽车钢圈总厂更新改造为实践项目，鼓励利用老旧厂房发展智能制造、科技创新等高精尖产业，推动老工业重镇转型发展。</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以回天地区为试点，探索形成以任务清单、项目清单等8个清单为抓手的存量街区更新工作示范样板。重点关注已建设低效土地的再开发和闲置土地、废弃建筑空间及场地再利用，不断织补公共服务设施短板，协同提升区域人居环境品质。</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（二）轨道微中心引领带动</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加强轨道站点与周边用地一体化规划及场站用地综合利用，以轨道微中心建设带动片区发展。借助昌平、龙泽、黄土店（霍营）地铁站和南口火车站4个轨道微中心建设契机，发挥轨道交通带动和辐射</w:t>
      </w:r>
      <w:r>
        <w:rPr>
          <w:rFonts w:hAnsi="仿宋_GB2312" w:cs="仿宋_GB2312"/>
          <w:b w:val="0"/>
          <w:bCs/>
          <w:szCs w:val="32"/>
        </w:rPr>
        <w:t>作用</w:t>
      </w:r>
      <w:r>
        <w:rPr>
          <w:rFonts w:hint="eastAsia" w:hAnsi="仿宋_GB2312" w:cs="仿宋_GB2312"/>
          <w:b w:val="0"/>
          <w:bCs/>
          <w:szCs w:val="32"/>
        </w:rPr>
        <w:t>，带动昌平新城、南口镇和回天地区三个片区周边存量资源提质增效。依据不同类型微中心的交通条件、现实情况及发展方向，分类提出引导和管控措施。探索明确轨道微中心周边功能，整合用地综合开发利用模式，强化地上地下空间一体化规划设计，促进站点与周边商业、办公、居住等功能融合，补充公共服务设施，打造高效集约城市空间，建立便捷交通网络，营造规模效应的商业氛围，实现设施资源共享，体现城市景观多元渗透，为城市可持续发展注入活力。有针对性地提出鼓励和支持政策，如土地和建筑功能混合利用、公共空间奖励、探索开放停车位“错时共享”等制度，为城市更新提供支撑和保障。</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（三）单项项目有序开展</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尊重居民群众、权属主体意愿，综合考虑各类项目的实施需求，鼓励各类单项项目更新。按照老旧小区更新改造、危旧楼房改建和简易楼腾退改造、老旧厂房改建、旧城区环境治理更新改造等类型和路径，在满足规划要求、实施方案合理的基础上，鼓励优先补充各镇（街道）三大设施缺口，因地制宜推进各类单项项目的更新改造。</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黑体"/>
          <w:b w:val="0"/>
          <w:bCs/>
          <w:szCs w:val="32"/>
        </w:rPr>
      </w:pPr>
      <w:r>
        <w:rPr>
          <w:rFonts w:hint="eastAsia" w:ascii="黑体" w:hAnsi="黑体" w:eastAsia="黑体" w:cs="黑体"/>
          <w:b w:val="0"/>
          <w:bCs/>
          <w:szCs w:val="32"/>
        </w:rPr>
        <w:t>七、保障措施</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（一）加强组织领导</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在昌平区委城市工作委员会城市更新专项小组指导下开展工作，各专班分工合作，共同推进城市更新工作。各相关部门配合抓好各项工作，统筹推进组织实施和配套政策制定，推动城市更新高效有序推进。各镇人民政府、街道办事处是实施城市更新行动的责任主体，负责推进各辖区内城市更新工作。</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（二）强化政策支持</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区发展改革委、区财政局和区住房城市建设委要在金融财税相关政策上加强研究创新，建立城市更新专项基金。市规自委昌平分局负责研究城市更新规划、土地相关配套政策、标准并组织落实，并结合昌平区实际情况，研究创新城市更新项目土地、规划管理机制。</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（三）引入专家指导</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集聚相关专家学者，搭建智库交流平台，鼓励社会智囊团体共同参与。邀请高校教授、设计院专家和艺术家等参与城市更新改造和运营管理，从初步策划、整体统筹、资金运转、规划设计等给予全方面指导。</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（四）引入社会资本</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统筹发挥好政府、市场、公众的协同作用，引入社会力量、社会资本多元参与城市更新。通过创新运营模式、提供金融支持等举措，促进社会资本的微利可持续运营，从而提升城市更新对社会资本吸引力度，构建社会力量在城市更新过程中的成本共担、协同治理机制。同时，在深入调研的基础上，建立以统筹为核心的实施模式，注重跨项目、跨类型的收益平衡，力争做到项目的肥瘦搭配，实现经营性与公益性平衡、增量与存量统筹、高收益带动低收益，打造示范项目，探索形成昌平特色的城市更新良性发展模式，为社会资本参与城市更新创造良好环境。</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（五）做好宣传引导</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做好宣传引导和业务培训工作，定期组织城市更新政策宣讲，鼓励责任规划师助力城市更新工作，建立咨询平台，向各镇（街道）及相关社区宣讲相关政策及案例，增强对城市更新的认知和对家园发展的责任感；编制优秀案例说明书，总结创新经验，扩大城市更新示范效应。</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（六）成立共创中心</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成立昌平城市更新共创中心，动员市场力量，统筹各类资源，为政府机关、金融机构、企事业单位、社会公众多元主体参与昌平城市更新搭建综合性服务平台。结合城市更新存量资源，由共创中心提供规划设计、政策咨询、投资融资、项目建设、运营服务等方面服务，实现协同治理、良性互动的城市更新机制。</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（七）推动项目实施</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区住房城乡建设委、区发展改革委、区财政局、市规自委昌平分局等部门要共同制定城市更新年度任务计划并督促实施，跟踪指导城市更新示范项目，深入开展调研，及时总结推广工作中的典型案例，以点带面、打造样板，形成一批可复制可推广的更新经验。</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楷体_GB2312" w:hAnsi="楷体_GB2312" w:eastAsia="楷体_GB2312" w:cs="楷体_GB2312"/>
          <w:b w:val="0"/>
          <w:bCs/>
          <w:szCs w:val="32"/>
        </w:rPr>
      </w:pPr>
      <w:r>
        <w:rPr>
          <w:rFonts w:hint="eastAsia" w:ascii="楷体_GB2312" w:hAnsi="楷体_GB2312" w:eastAsia="楷体_GB2312" w:cs="楷体_GB2312"/>
          <w:b w:val="0"/>
          <w:bCs/>
          <w:szCs w:val="32"/>
        </w:rPr>
        <w:t>（八）动态清单管理</w:t>
      </w:r>
    </w:p>
    <w:p>
      <w:pPr>
        <w:pStyle w:val="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_GB2312" w:cs="仿宋_GB2312"/>
          <w:b w:val="0"/>
          <w:bCs/>
          <w:szCs w:val="32"/>
        </w:rPr>
      </w:pPr>
      <w:r>
        <w:rPr>
          <w:rFonts w:hint="eastAsia" w:hAnsi="仿宋_GB2312" w:cs="仿宋_GB2312"/>
          <w:b w:val="0"/>
          <w:bCs/>
          <w:szCs w:val="32"/>
        </w:rPr>
        <w:t>实行动态清单管理制度，根据项目的实施进度，及时更新清单内容。在途项目及明确实施的项目，纳入实施清单。梳理符合条件、群众意愿强烈的项目，纳入储备清单，对接属地及产权单位，开展实施条件分析，实施条件比较成熟的纳入实施清单。各镇（街道）要持续收集民意，根据实际情况动态调整实施清单和储备清单。</w:t>
      </w:r>
    </w:p>
    <w:p>
      <w:pPr>
        <w:spacing w:line="560" w:lineRule="exact"/>
        <w:ind w:firstLine="640" w:firstLineChars="200"/>
        <w:rPr>
          <w:rFonts w:ascii="仿宋_GB2312" w:hAnsi="仿宋_GB2312" w:eastAsia="仿宋_GB2312" w:cs="仿宋_GB2312"/>
          <w:sz w:val="32"/>
          <w:szCs w:val="32"/>
        </w:rPr>
      </w:pPr>
    </w:p>
    <w:p/>
    <w:p>
      <w:pPr>
        <w:pStyle w:val="2"/>
      </w:pPr>
    </w:p>
    <w:p>
      <w:pPr>
        <w:pStyle w:val="3"/>
      </w:pPr>
    </w:p>
    <w:p>
      <w:pPr>
        <w:pStyle w:val="2"/>
      </w:pPr>
    </w:p>
    <w:p>
      <w:pPr>
        <w:pStyle w:val="3"/>
      </w:pPr>
    </w:p>
    <w:p>
      <w:pPr>
        <w:pStyle w:val="2"/>
      </w:pPr>
    </w:p>
    <w:p>
      <w:pPr>
        <w:pStyle w:val="3"/>
      </w:pPr>
    </w:p>
    <w:p>
      <w:pPr>
        <w:pStyle w:val="2"/>
      </w:pPr>
    </w:p>
    <w:p>
      <w:pPr>
        <w:pStyle w:val="3"/>
      </w:pPr>
    </w:p>
    <w:p>
      <w:pPr>
        <w:pStyle w:val="2"/>
      </w:pPr>
    </w:p>
    <w:p>
      <w:pPr>
        <w:pStyle w:val="2"/>
      </w:pPr>
    </w:p>
    <w:p>
      <w:pPr>
        <w:pStyle w:val="2"/>
      </w:pPr>
    </w:p>
    <w:p>
      <w:pPr>
        <w:pStyle w:val="3"/>
      </w:pPr>
    </w:p>
    <w:p>
      <w:pPr>
        <w:pStyle w:val="2"/>
      </w:pPr>
    </w:p>
    <w:p>
      <w:pPr>
        <w:pStyle w:val="2"/>
      </w:pPr>
    </w:p>
    <w:p>
      <w:pPr>
        <w:pStyle w:val="2"/>
      </w:pPr>
    </w:p>
    <w:p>
      <w:pPr>
        <w:pStyle w:val="2"/>
      </w:pPr>
    </w:p>
    <w:p>
      <w:pPr>
        <w:spacing w:line="560" w:lineRule="exact"/>
        <w:rPr>
          <w:rFonts w:eastAsia="仿宋_GB2312"/>
          <w:sz w:val="28"/>
          <w:szCs w:val="28"/>
        </w:rPr>
      </w:pPr>
      <w:r>
        <w:rPr>
          <w:rFonts w:eastAsia="仿宋_GB2312"/>
          <w:sz w:val="32"/>
          <w:szCs w:val="32"/>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25400</wp:posOffset>
                </wp:positionV>
                <wp:extent cx="5652135" cy="0"/>
                <wp:effectExtent l="0" t="0" r="0" b="0"/>
                <wp:wrapNone/>
                <wp:docPr id="7" name="Line 2"/>
                <wp:cNvGraphicFramePr/>
                <a:graphic xmlns:a="http://schemas.openxmlformats.org/drawingml/2006/main">
                  <a:graphicData uri="http://schemas.microsoft.com/office/word/2010/wordprocessingShape">
                    <wps:wsp>
                      <wps:cNvCnPr/>
                      <wps:spPr>
                        <a:xfrm>
                          <a:off x="0" y="0"/>
                          <a:ext cx="5652135" cy="0"/>
                        </a:xfrm>
                        <a:prstGeom prst="line">
                          <a:avLst/>
                        </a:prstGeom>
                        <a:ln w="12599" cap="flat" cmpd="sng">
                          <a:solidFill>
                            <a:srgbClr val="00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0pt;margin-top:2pt;height:0pt;width:445.05pt;mso-position-horizontal-relative:margin;z-index:251659264;mso-width-relative:page;mso-height-relative:page;" filled="f" stroked="t" coordsize="21600,21600" o:gfxdata="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m+JEx0gAAAAQBAAAPAAAAAAAAAAEAIAAAACIAAABkcnMvZG93bnJldi54&#10;bWxQSwECFAAUAAAACACHTuJAt/hwTscBAACaAwAADgAAAAAAAAABACAAAAAhAQAAZHJzL2Uyb0Rv&#10;Yy54bWxQSwUGAAAAAAYABgBZAQAAWgUAAAAA&#10;">
                <v:fill on="f" focussize="0,0"/>
                <v:stroke weight="0.992047244094488pt" color="#000000" joinstyle="round"/>
                <v:imagedata o:title=""/>
                <o:lock v:ext="edit" aspectratio="f"/>
              </v:line>
            </w:pict>
          </mc:Fallback>
        </mc:AlternateContent>
      </w:r>
      <w:r>
        <w:rPr>
          <w:rFonts w:eastAsia="仿宋_GB2312"/>
          <w:sz w:val="32"/>
          <w:szCs w:val="32"/>
        </w:rPr>
        <w:t>　</w:t>
      </w:r>
      <w:r>
        <w:rPr>
          <w:rFonts w:eastAsia="仿宋_GB2312"/>
          <w:sz w:val="28"/>
          <w:szCs w:val="28"/>
        </w:rPr>
        <w:t>抄送：</w:t>
      </w:r>
      <w:r>
        <w:rPr>
          <w:rFonts w:hint="eastAsia" w:ascii="仿宋_GB2312" w:eastAsia="仿宋_GB2312"/>
          <w:bCs/>
          <w:color w:val="000000"/>
          <w:sz w:val="28"/>
          <w:szCs w:val="28"/>
        </w:rPr>
        <w:t xml:space="preserve">区委办，区人大办，区政协办，区监委，区法院，区检察院。 </w:t>
      </w:r>
    </w:p>
    <w:p>
      <w:pPr>
        <w:spacing w:line="560" w:lineRule="exact"/>
        <w:rPr>
          <w:rFonts w:ascii="仿宋_GB2312" w:eastAsia="仿宋_GB2312"/>
          <w:bCs/>
        </w:rPr>
      </w:pPr>
      <w:r>
        <w:rPr>
          <w:sz w:val="32"/>
        </w:rPr>
        <mc:AlternateContent>
          <mc:Choice Requires="wps">
            <w:drawing>
              <wp:anchor distT="0" distB="0" distL="114300" distR="114300" simplePos="0" relativeHeight="251659264" behindDoc="0" locked="0" layoutInCell="1" allowOverlap="1">
                <wp:simplePos x="0" y="0"/>
                <wp:positionH relativeFrom="column">
                  <wp:posOffset>1176655</wp:posOffset>
                </wp:positionH>
                <wp:positionV relativeFrom="paragraph">
                  <wp:posOffset>485140</wp:posOffset>
                </wp:positionV>
                <wp:extent cx="965835" cy="414020"/>
                <wp:effectExtent l="0" t="0" r="5715" b="5080"/>
                <wp:wrapNone/>
                <wp:docPr id="11" name="矩形 15"/>
                <wp:cNvGraphicFramePr/>
                <a:graphic xmlns:a="http://schemas.openxmlformats.org/drawingml/2006/main">
                  <a:graphicData uri="http://schemas.microsoft.com/office/word/2010/wordprocessingShape">
                    <wps:wsp>
                      <wps:cNvSpPr/>
                      <wps:spPr>
                        <a:xfrm>
                          <a:off x="0" y="0"/>
                          <a:ext cx="965835" cy="414020"/>
                        </a:xfrm>
                        <a:prstGeom prst="rect">
                          <a:avLst/>
                        </a:prstGeom>
                        <a:gradFill rotWithShape="0">
                          <a:gsLst>
                            <a:gs pos="0">
                              <a:srgbClr val="FFFFFF"/>
                            </a:gs>
                            <a:gs pos="100000">
                              <a:srgbClr val="FFFFFF"/>
                            </a:gs>
                          </a:gsLst>
                          <a:lin ang="0"/>
                          <a:tileRect/>
                        </a:gradFill>
                        <a:ln w="15875">
                          <a:noFill/>
                        </a:ln>
                        <a:effectLst/>
                      </wps:spPr>
                      <wps:txbx>
                        <w:txbxContent>
                          <w:p/>
                        </w:txbxContent>
                      </wps:txbx>
                      <wps:bodyPr upright="1"/>
                    </wps:wsp>
                  </a:graphicData>
                </a:graphic>
              </wp:anchor>
            </w:drawing>
          </mc:Choice>
          <mc:Fallback>
            <w:pict>
              <v:rect id="矩形 15" o:spid="_x0000_s1026" o:spt="1" style="position:absolute;left:0pt;margin-left:92.65pt;margin-top:38.2pt;height:32.6pt;width:76.05pt;z-index:251659264;mso-width-relative:page;mso-height-relative:page;" fillcolor="#FFFFFF" filled="t" stroked="f" coordsize="21600,21600" o:gfxdata="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BVJbYzZAAAACgEAAA8A&#10;AAAAAAAAAQAgAAAAIgAAAGRycy9kb3ducmV2LnhtbFBLAQIUABQAAAAIAIdO4kDT4Ho43QEAALwD&#10;AAAOAAAAAAAAAAEAIAAAACgBAABkcnMvZTJvRG9jLnhtbFBLBQYAAAAABgAGAFkBAAB3BQAAAAA=&#10;">
                <v:fill type="gradient" on="t" color2="#FFFFFF" angle="90" focus="100%" focussize="0,0">
                  <o:fill type="gradientUnscaled" v:ext="backwardCompatible"/>
                </v:fill>
                <v:stroke on="f" weight="1.25pt"/>
                <v:imagedata o:title=""/>
                <o:lock v:ext="edit" aspectratio="f"/>
                <v:textbox>
                  <w:txbxContent>
                    <w:p/>
                  </w:txbxContent>
                </v:textbox>
              </v:rect>
            </w:pict>
          </mc:Fallback>
        </mc:AlternateContent>
      </w:r>
      <w:r>
        <w:rPr>
          <w:rFonts w:ascii="仿宋_GB2312" w:hAnsi="宋体"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50165</wp:posOffset>
                </wp:positionH>
                <wp:positionV relativeFrom="paragraph">
                  <wp:posOffset>5638800</wp:posOffset>
                </wp:positionV>
                <wp:extent cx="981075" cy="432435"/>
                <wp:effectExtent l="0" t="0" r="9525" b="5715"/>
                <wp:wrapNone/>
                <wp:docPr id="10" name="Text Box 6"/>
                <wp:cNvGraphicFramePr/>
                <a:graphic xmlns:a="http://schemas.openxmlformats.org/drawingml/2006/main">
                  <a:graphicData uri="http://schemas.microsoft.com/office/word/2010/wordprocessingShape">
                    <wps:wsp>
                      <wps:cNvSpPr txBox="1"/>
                      <wps:spPr>
                        <a:xfrm>
                          <a:off x="0" y="0"/>
                          <a:ext cx="981075" cy="432435"/>
                        </a:xfrm>
                        <a:prstGeom prst="rect">
                          <a:avLst/>
                        </a:prstGeom>
                        <a:gradFill rotWithShape="0">
                          <a:gsLst>
                            <a:gs pos="0">
                              <a:srgbClr val="FFFFFF"/>
                            </a:gs>
                            <a:gs pos="100000">
                              <a:srgbClr val="FFFFFF">
                                <a:gamma/>
                                <a:tint val="0"/>
                                <a:invGamma/>
                              </a:srgbClr>
                            </a:gs>
                          </a:gsLst>
                          <a:lin ang="5400000" scaled="1"/>
                          <a:tileRect/>
                        </a:gradFill>
                        <a:ln>
                          <a:noFill/>
                        </a:ln>
                        <a:effectLst/>
                      </wps:spPr>
                      <wps:txbx>
                        <w:txbxContent>
                          <w:p/>
                        </w:txbxContent>
                      </wps:txbx>
                      <wps:bodyPr upright="1"/>
                    </wps:wsp>
                  </a:graphicData>
                </a:graphic>
              </wp:anchor>
            </w:drawing>
          </mc:Choice>
          <mc:Fallback>
            <w:pict>
              <v:shape id="Text Box 6" o:spid="_x0000_s1026" o:spt="202" type="#_x0000_t202" style="position:absolute;left:0pt;margin-left:3.95pt;margin-top:444pt;height:34.05pt;width:77.25pt;z-index:251659264;mso-width-relative:page;mso-height-relative:page;" fillcolor="#FFFFFF" filled="t" stroked="f" coordsize="21600,21600" o:gfxdata="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TokhD9YAAAAJAQAADwAAAAAAAAABACAAAAAiAAAAZHJzL2Rvd25yZXYueG1sUEsBAhQAFAAA&#10;AAgAh07iQM5J4sXxAQAAAQQAAA4AAAAAAAAAAQAgAAAAJQEAAGRycy9lMm9Eb2MueG1sUEsFBgAA&#10;AAAGAAYAWQEAAIgFAAAAAA==&#10;">
                <v:fill type="gradient" on="t" color2="#FFFFFF" focus="100%" focussize="0,0"/>
                <v:stroke on="f"/>
                <v:imagedata o:title=""/>
                <o:lock v:ext="edit" aspectratio="f"/>
                <v:textbox>
                  <w:txbxContent>
                    <w:p/>
                  </w:txbxContent>
                </v:textbox>
              </v:shape>
            </w:pict>
          </mc:Fallback>
        </mc:AlternateContent>
      </w:r>
      <w:r>
        <w:rPr>
          <w:rFonts w:eastAsia="仿宋_GB2312"/>
          <w:sz w:val="28"/>
          <w:szCs w:val="28"/>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388620</wp:posOffset>
                </wp:positionV>
                <wp:extent cx="5652135" cy="0"/>
                <wp:effectExtent l="0" t="0" r="0" b="0"/>
                <wp:wrapNone/>
                <wp:docPr id="8" name="Line 3"/>
                <wp:cNvGraphicFramePr/>
                <a:graphic xmlns:a="http://schemas.openxmlformats.org/drawingml/2006/main">
                  <a:graphicData uri="http://schemas.microsoft.com/office/word/2010/wordprocessingShape">
                    <wps:wsp>
                      <wps:cNvCnPr/>
                      <wps:spPr>
                        <a:xfrm>
                          <a:off x="0" y="0"/>
                          <a:ext cx="5652135" cy="0"/>
                        </a:xfrm>
                        <a:prstGeom prst="line">
                          <a:avLst/>
                        </a:prstGeom>
                        <a:ln w="12599" cap="flat" cmpd="sng">
                          <a:solidFill>
                            <a:srgbClr val="000000"/>
                          </a:solidFill>
                          <a:prstDash val="solid"/>
                          <a:headEnd type="none" w="med" len="med"/>
                          <a:tailEnd type="none" w="med" len="med"/>
                        </a:ln>
                        <a:effectLst/>
                      </wps:spPr>
                      <wps:bodyPr upright="1"/>
                    </wps:wsp>
                  </a:graphicData>
                </a:graphic>
              </wp:anchor>
            </w:drawing>
          </mc:Choice>
          <mc:Fallback>
            <w:pict>
              <v:line id="Line 3" o:spid="_x0000_s1026" o:spt="20" style="position:absolute;left:0pt;margin-left:0pt;margin-top:30.6pt;height:0pt;width:445.05pt;mso-position-horizontal-relative:margin;z-index:251659264;mso-width-relative:page;mso-height-relative:page;" filled="f" stroked="t" coordsize="21600,21600" o:gfxdata="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byUti0wAAAAYBAAAPAAAAAAAAAAEAIAAAACIAAABkcnMvZG93bnJldi54&#10;bWxQSwECFAAUAAAACACHTuJA3tZlG8YBAACaAwAADgAAAAAAAAABACAAAAAiAQAAZHJzL2Uyb0Rv&#10;Yy54bWxQSwUGAAAAAAYABgBZAQAAWgUAAAAA&#10;">
                <v:fill on="f" focussize="0,0"/>
                <v:stroke weight="0.992047244094488pt" color="#000000" joinstyle="round"/>
                <v:imagedata o:title=""/>
                <o:lock v:ext="edit" aspectratio="f"/>
              </v:line>
            </w:pict>
          </mc:Fallback>
        </mc:AlternateContent>
      </w:r>
      <w:r>
        <w:rPr>
          <w:rFonts w:eastAsia="仿宋_GB2312"/>
          <w:sz w:val="28"/>
          <w:szCs w:val="28"/>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30480</wp:posOffset>
                </wp:positionV>
                <wp:extent cx="5652135" cy="0"/>
                <wp:effectExtent l="0" t="0" r="0" b="0"/>
                <wp:wrapNone/>
                <wp:docPr id="9" name="Line 4"/>
                <wp:cNvGraphicFramePr/>
                <a:graphic xmlns:a="http://schemas.openxmlformats.org/drawingml/2006/main">
                  <a:graphicData uri="http://schemas.microsoft.com/office/word/2010/wordprocessingShape">
                    <wps:wsp>
                      <wps:cNvCnPr/>
                      <wps:spPr>
                        <a:xfrm>
                          <a:off x="0" y="0"/>
                          <a:ext cx="5652135" cy="0"/>
                        </a:xfrm>
                        <a:prstGeom prst="line">
                          <a:avLst/>
                        </a:prstGeom>
                        <a:ln w="8999" cap="flat" cmpd="sng">
                          <a:solidFill>
                            <a:srgbClr val="000000"/>
                          </a:solidFill>
                          <a:prstDash val="solid"/>
                          <a:headEnd type="none" w="med" len="med"/>
                          <a:tailEnd type="none" w="med" len="med"/>
                        </a:ln>
                        <a:effectLst/>
                      </wps:spPr>
                      <wps:bodyPr upright="1"/>
                    </wps:wsp>
                  </a:graphicData>
                </a:graphic>
              </wp:anchor>
            </w:drawing>
          </mc:Choice>
          <mc:Fallback>
            <w:pict>
              <v:line id="Line 4" o:spid="_x0000_s1026" o:spt="20" style="position:absolute;left:0pt;margin-left:0pt;margin-top:2.4pt;height:0pt;width:445.05pt;mso-position-horizontal-relative:margin;z-index:251659264;mso-width-relative:page;mso-height-relative:page;" filled="f" stroked="t" coordsize="21600,21600" o:gfxdata="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O4yUrdMAAAAEAQAADwAAAAAAAAABACAAAAAiAAAAZHJzL2Rvd25yZXYu&#10;eG1sUEsBAhQAFAAAAAgAh07iQN3YCgvHAQAAmQMAAA4AAAAAAAAAAQAgAAAAIgEAAGRycy9lMm9E&#10;b2MueG1sUEsFBgAAAAAGAAYAWQEAAFsFAAAAAA==&#10;">
                <v:fill on="f" focussize="0,0"/>
                <v:stroke weight="0.708582677165354pt" color="#000000" joinstyle="round"/>
                <v:imagedata o:title=""/>
                <o:lock v:ext="edit" aspectratio="f"/>
              </v:line>
            </w:pict>
          </mc:Fallback>
        </mc:AlternateContent>
      </w:r>
      <w:r>
        <w:rPr>
          <w:rFonts w:eastAsia="仿宋_GB2312"/>
          <w:sz w:val="28"/>
          <w:szCs w:val="28"/>
        </w:rPr>
        <w:t>　北京市昌平区人民政府</w:t>
      </w:r>
      <w:r>
        <w:rPr>
          <w:rFonts w:hint="eastAsia" w:eastAsia="仿宋_GB2312"/>
          <w:sz w:val="28"/>
          <w:szCs w:val="28"/>
        </w:rPr>
        <w:t>办公室</w:t>
      </w:r>
      <w:r>
        <w:rPr>
          <w:rFonts w:eastAsia="仿宋_GB2312"/>
          <w:sz w:val="28"/>
          <w:szCs w:val="28"/>
        </w:rPr>
        <w:t>　</w:t>
      </w:r>
      <w:r>
        <w:rPr>
          <w:rFonts w:hint="eastAsia" w:eastAsia="仿宋_GB2312"/>
          <w:sz w:val="28"/>
          <w:szCs w:val="28"/>
        </w:rPr>
        <w:t xml:space="preserve">          </w:t>
      </w:r>
      <w:r>
        <w:rPr>
          <w:rFonts w:hint="eastAsia" w:ascii="仿宋_GB2312" w:eastAsia="仿宋_GB2312"/>
          <w:sz w:val="28"/>
          <w:szCs w:val="28"/>
        </w:rPr>
        <w:t>2022年</w:t>
      </w:r>
      <w:r>
        <w:rPr>
          <w:rFonts w:hint="eastAsia" w:ascii="仿宋_GB2312" w:eastAsia="仿宋_GB2312"/>
          <w:color w:val="000000"/>
          <w:sz w:val="28"/>
          <w:szCs w:val="28"/>
        </w:rPr>
        <w:t>12月</w:t>
      </w:r>
      <w:r>
        <w:rPr>
          <w:rFonts w:hint="eastAsia" w:ascii="仿宋_GB2312" w:eastAsia="仿宋_GB2312"/>
          <w:color w:val="000000"/>
          <w:sz w:val="28"/>
          <w:szCs w:val="28"/>
          <w:lang w:val="en-US" w:eastAsia="zh-CN"/>
        </w:rPr>
        <w:t>9</w:t>
      </w:r>
      <w:r>
        <w:rPr>
          <w:rFonts w:hint="eastAsia" w:ascii="仿宋_GB2312" w:eastAsia="仿宋_GB2312"/>
          <w:color w:val="000000"/>
          <w:sz w:val="28"/>
          <w:szCs w:val="28"/>
        </w:rPr>
        <w:t>日印发</w:t>
      </w:r>
    </w:p>
    <w:sectPr>
      <w:footerReference r:id="rId3" w:type="default"/>
      <w:footerReference r:id="rId4" w:type="even"/>
      <w:pgSz w:w="11906" w:h="16838"/>
      <w:pgMar w:top="2098" w:right="1474" w:bottom="1984" w:left="1588" w:header="851" w:footer="153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073924A-F394-4F8E-8CD9-A65441A07A0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A13E5A40-4DE8-446A-98A9-BEDA45D58AFD}"/>
  </w:font>
  <w:font w:name="Verdana">
    <w:panose1 w:val="020B0604030504040204"/>
    <w:charset w:val="00"/>
    <w:family w:val="swiss"/>
    <w:pitch w:val="default"/>
    <w:sig w:usb0="A1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embedRegular r:id="rId3" w:fontKey="{0CBE4D41-4D14-42CA-99F5-58F93281DA63}"/>
  </w:font>
  <w:font w:name="楷体_GB2312">
    <w:panose1 w:val="02010609030101010101"/>
    <w:charset w:val="86"/>
    <w:family w:val="modern"/>
    <w:pitch w:val="default"/>
    <w:sig w:usb0="00000000" w:usb1="00000000" w:usb2="00000000" w:usb3="00000000" w:csb0="00000000" w:csb1="00000000"/>
    <w:embedRegular r:id="rId4" w:fontKey="{A78C01FC-3621-422C-B6AD-E68C9BD21B5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-66675</wp:posOffset>
              </wp:positionV>
              <wp:extent cx="829310" cy="201295"/>
              <wp:effectExtent l="0" t="0" r="0" b="0"/>
              <wp:wrapNone/>
              <wp:docPr id="12" name="文本框 5"/>
              <wp:cNvGraphicFramePr/>
              <a:graphic xmlns:a="http://schemas.openxmlformats.org/drawingml/2006/main">
                <a:graphicData uri="http://schemas.microsoft.com/office/word/2010/wordprocessingShape">
                  <wps:wsp>
                    <wps:cNvSpPr txBox="1"/>
                    <wps:spPr>
                      <a:xfrm>
                        <a:off x="0" y="0"/>
                        <a:ext cx="829310" cy="201295"/>
                      </a:xfrm>
                      <a:prstGeom prst="rect">
                        <a:avLst/>
                      </a:prstGeom>
                      <a:noFill/>
                      <a:ln>
                        <a:noFill/>
                      </a:ln>
                      <a:effectLst/>
                    </wps:spPr>
                    <wps:txbx>
                      <w:txbxContent>
                        <w:p>
                          <w:pPr>
                            <w:snapToGrid w:val="0"/>
                            <w:rPr>
                              <w:sz w:val="1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lIns="0" tIns="0" rIns="0" bIns="0" upright="0"/>
                  </wps:wsp>
                </a:graphicData>
              </a:graphic>
            </wp:anchor>
          </w:drawing>
        </mc:Choice>
        <mc:Fallback>
          <w:pict>
            <v:shape id="文本框 5" o:spid="_x0000_s1026" o:spt="202" type="#_x0000_t202" style="position:absolute;left:0pt;margin-top:-5.25pt;height:15.85pt;width:65.3pt;mso-position-horizontal:outside;mso-position-horizontal-relative:margin;z-index:251659264;mso-width-relative:page;mso-height-relative:page;" filled="f" stroked="f" coordsize="21600,21600" o:gfxdata="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1AIIq1gAAAAcBAAAPAAAAAAAA&#10;AAEAIAAAACIAAABkcnMvZG93bnJldi54bWxQSwECFAAUAAAACACHTuJAfZvQYqIBAAAyAwAADgAA&#10;AAAAAAABACAAAAAlAQAAZHJzL2Uyb0RvYy54bWxQSwUGAAAAAAYABgBZAQAAOQUAAAAA&#10;">
              <v:fill on="f" focussize="0,0"/>
              <v:stroke on="f"/>
              <v:imagedata o:title=""/>
              <o:lock v:ext="edit" aspectratio="f"/>
              <v:textbox inset="0mm,0mm,0mm,0mm">
                <w:txbxContent>
                  <w:p>
                    <w:pPr>
                      <w:snapToGrid w:val="0"/>
                      <w:rPr>
                        <w:sz w:val="1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firstLine="360"/>
    </w:pPr>
    <w:r>
      <mc:AlternateContent>
        <mc:Choice Requires="wps">
          <w:drawing>
            <wp:anchor distT="0" distB="0" distL="114300" distR="114300" simplePos="0" relativeHeight="251659264" behindDoc="0" locked="0" layoutInCell="1" allowOverlap="1">
              <wp:simplePos x="0" y="0"/>
              <wp:positionH relativeFrom="margin">
                <wp:posOffset>635</wp:posOffset>
              </wp:positionH>
              <wp:positionV relativeFrom="paragraph">
                <wp:posOffset>-67310</wp:posOffset>
              </wp:positionV>
              <wp:extent cx="851535" cy="222885"/>
              <wp:effectExtent l="0" t="0" r="0" b="0"/>
              <wp:wrapNone/>
              <wp:docPr id="13" name="文本框 6"/>
              <wp:cNvGraphicFramePr/>
              <a:graphic xmlns:a="http://schemas.openxmlformats.org/drawingml/2006/main">
                <a:graphicData uri="http://schemas.microsoft.com/office/word/2010/wordprocessingShape">
                  <wps:wsp>
                    <wps:cNvSpPr txBox="1"/>
                    <wps:spPr>
                      <a:xfrm>
                        <a:off x="0" y="0"/>
                        <a:ext cx="851535" cy="222885"/>
                      </a:xfrm>
                      <a:prstGeom prst="rect">
                        <a:avLst/>
                      </a:prstGeom>
                      <a:noFill/>
                      <a:ln>
                        <a:noFill/>
                      </a:ln>
                      <a:effectLst/>
                    </wps:spPr>
                    <wps:txbx>
                      <w:txbxContent>
                        <w:p>
                          <w:pPr>
                            <w:snapToGrid w:val="0"/>
                            <w:rPr>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20</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lIns="0" tIns="0" rIns="0" bIns="0" upright="0"/>
                  </wps:wsp>
                </a:graphicData>
              </a:graphic>
            </wp:anchor>
          </w:drawing>
        </mc:Choice>
        <mc:Fallback>
          <w:pict>
            <v:shape id="文本框 6" o:spid="_x0000_s1026" o:spt="202" type="#_x0000_t202" style="position:absolute;left:0pt;margin-left:0.05pt;margin-top:-5.3pt;height:17.55pt;width:67.05pt;mso-position-horizontal-relative:margin;z-index:251659264;mso-width-relative:page;mso-height-relative:page;" filled="f" stroked="f" coordsize="21600,21600" o:gfxdata="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il9br1QAAAAcBAAAPAAAAAAAA&#10;AAEAIAAAACIAAABkcnMvZG93bnJldi54bWxQSwECFAAUAAAACACHTuJAHkW9mKMBAAAyAwAADgAA&#10;AAAAAAABACAAAAAkAQAAZHJzL2Uyb0RvYy54bWxQSwUGAAAAAAYABgBZAQAAOQUAAAAA&#10;">
              <v:fill on="f" focussize="0,0"/>
              <v:stroke on="f"/>
              <v:imagedata o:title=""/>
              <o:lock v:ext="edit" aspectratio="f"/>
              <v:textbox inset="0mm,0mm,0mm,0mm">
                <w:txbxContent>
                  <w:p>
                    <w:pPr>
                      <w:snapToGrid w:val="0"/>
                      <w:rPr>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20</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NotTrackMoves/>
  <w:documentProtection w:enforcement="0"/>
  <w:defaultTabStop w:val="420"/>
  <w:evenAndOddHeaders w:val="1"/>
  <w:drawingGridVerticalSpacing w:val="158"/>
  <w:displayHorizontalDrawingGridEvery w:val="0"/>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5ODBjNGIxZWZiZDg0ZGViYTdkZjAxYjZjNWNiOTgifQ=="/>
  </w:docVars>
  <w:rsids>
    <w:rsidRoot w:val="00857CF2"/>
    <w:rsid w:val="0001107E"/>
    <w:rsid w:val="00017C21"/>
    <w:rsid w:val="000211F3"/>
    <w:rsid w:val="00034EE5"/>
    <w:rsid w:val="000461F2"/>
    <w:rsid w:val="000679F1"/>
    <w:rsid w:val="00071E03"/>
    <w:rsid w:val="000746EF"/>
    <w:rsid w:val="00080080"/>
    <w:rsid w:val="00096996"/>
    <w:rsid w:val="000A17A6"/>
    <w:rsid w:val="000A63F4"/>
    <w:rsid w:val="000C32AE"/>
    <w:rsid w:val="000D24BA"/>
    <w:rsid w:val="000D2D45"/>
    <w:rsid w:val="000D7F24"/>
    <w:rsid w:val="000E18CF"/>
    <w:rsid w:val="000F1B17"/>
    <w:rsid w:val="000F28BD"/>
    <w:rsid w:val="000F3CF0"/>
    <w:rsid w:val="001032D1"/>
    <w:rsid w:val="00106AD8"/>
    <w:rsid w:val="00116214"/>
    <w:rsid w:val="001164D1"/>
    <w:rsid w:val="00122868"/>
    <w:rsid w:val="001246EE"/>
    <w:rsid w:val="00131F33"/>
    <w:rsid w:val="00137388"/>
    <w:rsid w:val="001376DA"/>
    <w:rsid w:val="00137E9F"/>
    <w:rsid w:val="001402F2"/>
    <w:rsid w:val="00142595"/>
    <w:rsid w:val="00145921"/>
    <w:rsid w:val="00145BC1"/>
    <w:rsid w:val="001523C9"/>
    <w:rsid w:val="00160435"/>
    <w:rsid w:val="00164789"/>
    <w:rsid w:val="001648A0"/>
    <w:rsid w:val="00164DF9"/>
    <w:rsid w:val="001670DC"/>
    <w:rsid w:val="00195066"/>
    <w:rsid w:val="001A0A04"/>
    <w:rsid w:val="001C281C"/>
    <w:rsid w:val="001C6A9F"/>
    <w:rsid w:val="001C778E"/>
    <w:rsid w:val="001D7686"/>
    <w:rsid w:val="001E14E8"/>
    <w:rsid w:val="001E2A02"/>
    <w:rsid w:val="001E6A4A"/>
    <w:rsid w:val="00202C70"/>
    <w:rsid w:val="00212708"/>
    <w:rsid w:val="0024231A"/>
    <w:rsid w:val="00244E42"/>
    <w:rsid w:val="00255133"/>
    <w:rsid w:val="00255E8B"/>
    <w:rsid w:val="00263252"/>
    <w:rsid w:val="002706CE"/>
    <w:rsid w:val="0027232B"/>
    <w:rsid w:val="00275E8D"/>
    <w:rsid w:val="00292BD7"/>
    <w:rsid w:val="002A26E3"/>
    <w:rsid w:val="002B35C4"/>
    <w:rsid w:val="002C7CF4"/>
    <w:rsid w:val="0030193E"/>
    <w:rsid w:val="003060C5"/>
    <w:rsid w:val="00312803"/>
    <w:rsid w:val="003168DB"/>
    <w:rsid w:val="003327EC"/>
    <w:rsid w:val="0033426F"/>
    <w:rsid w:val="003531B8"/>
    <w:rsid w:val="0035689E"/>
    <w:rsid w:val="00363B8D"/>
    <w:rsid w:val="003B03EA"/>
    <w:rsid w:val="003B093E"/>
    <w:rsid w:val="003B2835"/>
    <w:rsid w:val="003B6DD0"/>
    <w:rsid w:val="003C1288"/>
    <w:rsid w:val="003F4391"/>
    <w:rsid w:val="003F6C0A"/>
    <w:rsid w:val="003F793A"/>
    <w:rsid w:val="00403AED"/>
    <w:rsid w:val="00404678"/>
    <w:rsid w:val="00404CBC"/>
    <w:rsid w:val="004226EB"/>
    <w:rsid w:val="00432CBE"/>
    <w:rsid w:val="00444861"/>
    <w:rsid w:val="00454198"/>
    <w:rsid w:val="0045764C"/>
    <w:rsid w:val="00462002"/>
    <w:rsid w:val="004624D4"/>
    <w:rsid w:val="00473FC4"/>
    <w:rsid w:val="00480572"/>
    <w:rsid w:val="00491CB3"/>
    <w:rsid w:val="00492D57"/>
    <w:rsid w:val="00493AEB"/>
    <w:rsid w:val="004A3668"/>
    <w:rsid w:val="004A48B5"/>
    <w:rsid w:val="004A6184"/>
    <w:rsid w:val="004B3827"/>
    <w:rsid w:val="004E6BAE"/>
    <w:rsid w:val="00504360"/>
    <w:rsid w:val="005077DA"/>
    <w:rsid w:val="00507804"/>
    <w:rsid w:val="00524ECE"/>
    <w:rsid w:val="005271C8"/>
    <w:rsid w:val="00536724"/>
    <w:rsid w:val="00540316"/>
    <w:rsid w:val="00544CD4"/>
    <w:rsid w:val="00552480"/>
    <w:rsid w:val="00564ED6"/>
    <w:rsid w:val="00566CFC"/>
    <w:rsid w:val="005707A2"/>
    <w:rsid w:val="00574DE5"/>
    <w:rsid w:val="0057626A"/>
    <w:rsid w:val="005838C4"/>
    <w:rsid w:val="00583C5A"/>
    <w:rsid w:val="00586519"/>
    <w:rsid w:val="005A3AE1"/>
    <w:rsid w:val="005A493A"/>
    <w:rsid w:val="005B5AE0"/>
    <w:rsid w:val="005D49B3"/>
    <w:rsid w:val="005D4B71"/>
    <w:rsid w:val="005E21DA"/>
    <w:rsid w:val="005E44B0"/>
    <w:rsid w:val="005F4B6C"/>
    <w:rsid w:val="00600864"/>
    <w:rsid w:val="006053F4"/>
    <w:rsid w:val="00624226"/>
    <w:rsid w:val="006255A2"/>
    <w:rsid w:val="00634DCA"/>
    <w:rsid w:val="00644B6B"/>
    <w:rsid w:val="00644BCC"/>
    <w:rsid w:val="00646ECF"/>
    <w:rsid w:val="0066584C"/>
    <w:rsid w:val="00665E8D"/>
    <w:rsid w:val="00673C09"/>
    <w:rsid w:val="00684ECA"/>
    <w:rsid w:val="00685510"/>
    <w:rsid w:val="006A1B0A"/>
    <w:rsid w:val="006B1A13"/>
    <w:rsid w:val="006B319A"/>
    <w:rsid w:val="006C453C"/>
    <w:rsid w:val="006C78CC"/>
    <w:rsid w:val="006D5CAA"/>
    <w:rsid w:val="006D7E4A"/>
    <w:rsid w:val="006E0830"/>
    <w:rsid w:val="006F2367"/>
    <w:rsid w:val="00707F1C"/>
    <w:rsid w:val="00717F03"/>
    <w:rsid w:val="00724CB6"/>
    <w:rsid w:val="00734C1D"/>
    <w:rsid w:val="007373BE"/>
    <w:rsid w:val="007377FD"/>
    <w:rsid w:val="0074061D"/>
    <w:rsid w:val="007463D8"/>
    <w:rsid w:val="00750D1D"/>
    <w:rsid w:val="00757485"/>
    <w:rsid w:val="00757F6D"/>
    <w:rsid w:val="00761D0F"/>
    <w:rsid w:val="00766599"/>
    <w:rsid w:val="00770F52"/>
    <w:rsid w:val="00772580"/>
    <w:rsid w:val="00797A5E"/>
    <w:rsid w:val="007A0DBB"/>
    <w:rsid w:val="007A187F"/>
    <w:rsid w:val="007A3BDF"/>
    <w:rsid w:val="007C6295"/>
    <w:rsid w:val="007D0733"/>
    <w:rsid w:val="007F2039"/>
    <w:rsid w:val="007F2AC2"/>
    <w:rsid w:val="007F46C9"/>
    <w:rsid w:val="007F5F6C"/>
    <w:rsid w:val="008049FD"/>
    <w:rsid w:val="00804AC4"/>
    <w:rsid w:val="0080741A"/>
    <w:rsid w:val="00815C29"/>
    <w:rsid w:val="0082101D"/>
    <w:rsid w:val="00821748"/>
    <w:rsid w:val="00826E51"/>
    <w:rsid w:val="008367E5"/>
    <w:rsid w:val="008565B8"/>
    <w:rsid w:val="00857CF2"/>
    <w:rsid w:val="008662D5"/>
    <w:rsid w:val="0086754A"/>
    <w:rsid w:val="008B31C1"/>
    <w:rsid w:val="008D34E3"/>
    <w:rsid w:val="008D6B31"/>
    <w:rsid w:val="008D6FA6"/>
    <w:rsid w:val="008E3CAA"/>
    <w:rsid w:val="008F4778"/>
    <w:rsid w:val="0090217A"/>
    <w:rsid w:val="0092067D"/>
    <w:rsid w:val="0092102A"/>
    <w:rsid w:val="00921376"/>
    <w:rsid w:val="00923E56"/>
    <w:rsid w:val="00925F17"/>
    <w:rsid w:val="0093707C"/>
    <w:rsid w:val="0094186E"/>
    <w:rsid w:val="009435D1"/>
    <w:rsid w:val="009572A9"/>
    <w:rsid w:val="00960254"/>
    <w:rsid w:val="00964430"/>
    <w:rsid w:val="00964F26"/>
    <w:rsid w:val="00966DA4"/>
    <w:rsid w:val="00975050"/>
    <w:rsid w:val="00975A53"/>
    <w:rsid w:val="00980CDB"/>
    <w:rsid w:val="00981AD9"/>
    <w:rsid w:val="0098342B"/>
    <w:rsid w:val="00983BC1"/>
    <w:rsid w:val="009859E7"/>
    <w:rsid w:val="00986ED7"/>
    <w:rsid w:val="009A1965"/>
    <w:rsid w:val="009C2025"/>
    <w:rsid w:val="009C4A50"/>
    <w:rsid w:val="009F1035"/>
    <w:rsid w:val="009F29EC"/>
    <w:rsid w:val="009F302D"/>
    <w:rsid w:val="00A0451A"/>
    <w:rsid w:val="00A107D5"/>
    <w:rsid w:val="00A32CF6"/>
    <w:rsid w:val="00A36B1E"/>
    <w:rsid w:val="00A40325"/>
    <w:rsid w:val="00A40BBE"/>
    <w:rsid w:val="00A540FB"/>
    <w:rsid w:val="00A5417E"/>
    <w:rsid w:val="00A55F61"/>
    <w:rsid w:val="00A65907"/>
    <w:rsid w:val="00A74E7C"/>
    <w:rsid w:val="00A90792"/>
    <w:rsid w:val="00A96248"/>
    <w:rsid w:val="00AA0D20"/>
    <w:rsid w:val="00AA2AB4"/>
    <w:rsid w:val="00AB241C"/>
    <w:rsid w:val="00AC05C5"/>
    <w:rsid w:val="00AC46A5"/>
    <w:rsid w:val="00AC4A6F"/>
    <w:rsid w:val="00AC6456"/>
    <w:rsid w:val="00AD2542"/>
    <w:rsid w:val="00AD41FB"/>
    <w:rsid w:val="00AE16A2"/>
    <w:rsid w:val="00AE50A0"/>
    <w:rsid w:val="00B027C4"/>
    <w:rsid w:val="00B13E7C"/>
    <w:rsid w:val="00B1512E"/>
    <w:rsid w:val="00B22842"/>
    <w:rsid w:val="00B25584"/>
    <w:rsid w:val="00B4280E"/>
    <w:rsid w:val="00B50576"/>
    <w:rsid w:val="00B520D1"/>
    <w:rsid w:val="00B71095"/>
    <w:rsid w:val="00B74263"/>
    <w:rsid w:val="00B85439"/>
    <w:rsid w:val="00B915E4"/>
    <w:rsid w:val="00BA2940"/>
    <w:rsid w:val="00BB35D8"/>
    <w:rsid w:val="00BB3BD7"/>
    <w:rsid w:val="00BB3D0A"/>
    <w:rsid w:val="00BB4028"/>
    <w:rsid w:val="00BC1CF7"/>
    <w:rsid w:val="00BD2FB5"/>
    <w:rsid w:val="00BD74A6"/>
    <w:rsid w:val="00BE2DC7"/>
    <w:rsid w:val="00C03671"/>
    <w:rsid w:val="00C04055"/>
    <w:rsid w:val="00C10500"/>
    <w:rsid w:val="00C22775"/>
    <w:rsid w:val="00C2548C"/>
    <w:rsid w:val="00C32A29"/>
    <w:rsid w:val="00C406CA"/>
    <w:rsid w:val="00C43E7C"/>
    <w:rsid w:val="00C46E19"/>
    <w:rsid w:val="00C53F26"/>
    <w:rsid w:val="00C72BDC"/>
    <w:rsid w:val="00C76B41"/>
    <w:rsid w:val="00C76D04"/>
    <w:rsid w:val="00C81614"/>
    <w:rsid w:val="00CA2B61"/>
    <w:rsid w:val="00CB1054"/>
    <w:rsid w:val="00CB19F8"/>
    <w:rsid w:val="00CB37F9"/>
    <w:rsid w:val="00CB3FD9"/>
    <w:rsid w:val="00CC3D18"/>
    <w:rsid w:val="00CC4A53"/>
    <w:rsid w:val="00CD0BF4"/>
    <w:rsid w:val="00CD15F6"/>
    <w:rsid w:val="00D0088A"/>
    <w:rsid w:val="00D14E3F"/>
    <w:rsid w:val="00D16F15"/>
    <w:rsid w:val="00D31A48"/>
    <w:rsid w:val="00D32ABB"/>
    <w:rsid w:val="00D359B8"/>
    <w:rsid w:val="00D41EFF"/>
    <w:rsid w:val="00D43A72"/>
    <w:rsid w:val="00D4466B"/>
    <w:rsid w:val="00D639C1"/>
    <w:rsid w:val="00D77A05"/>
    <w:rsid w:val="00D92496"/>
    <w:rsid w:val="00DA32C2"/>
    <w:rsid w:val="00DB57FF"/>
    <w:rsid w:val="00DD13B8"/>
    <w:rsid w:val="00DD3A8D"/>
    <w:rsid w:val="00DD56C6"/>
    <w:rsid w:val="00DD5AAF"/>
    <w:rsid w:val="00DE2A95"/>
    <w:rsid w:val="00DE4936"/>
    <w:rsid w:val="00DF258C"/>
    <w:rsid w:val="00E119FA"/>
    <w:rsid w:val="00E25494"/>
    <w:rsid w:val="00E4121A"/>
    <w:rsid w:val="00E41E5C"/>
    <w:rsid w:val="00E437E3"/>
    <w:rsid w:val="00E45F42"/>
    <w:rsid w:val="00E60AB5"/>
    <w:rsid w:val="00E718BE"/>
    <w:rsid w:val="00E7694B"/>
    <w:rsid w:val="00E777EF"/>
    <w:rsid w:val="00E8309B"/>
    <w:rsid w:val="00E8592D"/>
    <w:rsid w:val="00E950D7"/>
    <w:rsid w:val="00E978E4"/>
    <w:rsid w:val="00EA42FF"/>
    <w:rsid w:val="00EB007F"/>
    <w:rsid w:val="00EB4B7B"/>
    <w:rsid w:val="00EC1441"/>
    <w:rsid w:val="00EC3253"/>
    <w:rsid w:val="00EC3E47"/>
    <w:rsid w:val="00EC78B5"/>
    <w:rsid w:val="00ED759E"/>
    <w:rsid w:val="00ED7690"/>
    <w:rsid w:val="00EE44AA"/>
    <w:rsid w:val="00EE68BC"/>
    <w:rsid w:val="00EF424F"/>
    <w:rsid w:val="00EF5121"/>
    <w:rsid w:val="00F00E0A"/>
    <w:rsid w:val="00F05884"/>
    <w:rsid w:val="00F12932"/>
    <w:rsid w:val="00F17B33"/>
    <w:rsid w:val="00F300B2"/>
    <w:rsid w:val="00F411B6"/>
    <w:rsid w:val="00F51BC1"/>
    <w:rsid w:val="00F60425"/>
    <w:rsid w:val="00F84DCC"/>
    <w:rsid w:val="00F85DAA"/>
    <w:rsid w:val="00F90736"/>
    <w:rsid w:val="00F96B4E"/>
    <w:rsid w:val="00FB0C4B"/>
    <w:rsid w:val="00FB0E43"/>
    <w:rsid w:val="00FC646B"/>
    <w:rsid w:val="00FE5AED"/>
    <w:rsid w:val="00FE6336"/>
    <w:rsid w:val="00FE71FE"/>
    <w:rsid w:val="00FF1B9A"/>
    <w:rsid w:val="014144FD"/>
    <w:rsid w:val="018C5B9E"/>
    <w:rsid w:val="01B2336A"/>
    <w:rsid w:val="01C51FE4"/>
    <w:rsid w:val="02722BA5"/>
    <w:rsid w:val="02902837"/>
    <w:rsid w:val="037456C3"/>
    <w:rsid w:val="03F90D32"/>
    <w:rsid w:val="0444709D"/>
    <w:rsid w:val="04CD2DED"/>
    <w:rsid w:val="04ED04AC"/>
    <w:rsid w:val="059E3A56"/>
    <w:rsid w:val="05D97231"/>
    <w:rsid w:val="06030EE3"/>
    <w:rsid w:val="06040931"/>
    <w:rsid w:val="062C7C3F"/>
    <w:rsid w:val="06E07B38"/>
    <w:rsid w:val="072E18E6"/>
    <w:rsid w:val="07525DC6"/>
    <w:rsid w:val="075F3433"/>
    <w:rsid w:val="078715FD"/>
    <w:rsid w:val="07F85F92"/>
    <w:rsid w:val="080B5F47"/>
    <w:rsid w:val="08C3637E"/>
    <w:rsid w:val="092A1DB3"/>
    <w:rsid w:val="095156B0"/>
    <w:rsid w:val="098706E0"/>
    <w:rsid w:val="0A451F66"/>
    <w:rsid w:val="0AB70273"/>
    <w:rsid w:val="0AE2079C"/>
    <w:rsid w:val="0C363E9B"/>
    <w:rsid w:val="0C7B3DDD"/>
    <w:rsid w:val="0C8B5DDC"/>
    <w:rsid w:val="0E372A20"/>
    <w:rsid w:val="0EF77A26"/>
    <w:rsid w:val="0F6A3F62"/>
    <w:rsid w:val="0FAC75BC"/>
    <w:rsid w:val="10145ADD"/>
    <w:rsid w:val="11A15C11"/>
    <w:rsid w:val="11F538B9"/>
    <w:rsid w:val="13AB1BC5"/>
    <w:rsid w:val="13BB0407"/>
    <w:rsid w:val="13D54396"/>
    <w:rsid w:val="15251DDD"/>
    <w:rsid w:val="15F823CB"/>
    <w:rsid w:val="16213C8E"/>
    <w:rsid w:val="16260017"/>
    <w:rsid w:val="164B0992"/>
    <w:rsid w:val="171D097B"/>
    <w:rsid w:val="17816784"/>
    <w:rsid w:val="17D0261A"/>
    <w:rsid w:val="180B688D"/>
    <w:rsid w:val="186A06A0"/>
    <w:rsid w:val="1A0A7050"/>
    <w:rsid w:val="1B553FB4"/>
    <w:rsid w:val="1B79446C"/>
    <w:rsid w:val="1BB61672"/>
    <w:rsid w:val="1F2C46E0"/>
    <w:rsid w:val="1F4916E4"/>
    <w:rsid w:val="1FA8029B"/>
    <w:rsid w:val="1FA976A3"/>
    <w:rsid w:val="1FDE2C69"/>
    <w:rsid w:val="20091623"/>
    <w:rsid w:val="20267218"/>
    <w:rsid w:val="20900731"/>
    <w:rsid w:val="209A6308"/>
    <w:rsid w:val="211A0450"/>
    <w:rsid w:val="21305574"/>
    <w:rsid w:val="21816BA2"/>
    <w:rsid w:val="228B7639"/>
    <w:rsid w:val="22AD24F0"/>
    <w:rsid w:val="23800368"/>
    <w:rsid w:val="2416004C"/>
    <w:rsid w:val="24243AAB"/>
    <w:rsid w:val="24380114"/>
    <w:rsid w:val="249F3174"/>
    <w:rsid w:val="250474E4"/>
    <w:rsid w:val="2536531C"/>
    <w:rsid w:val="25E710C9"/>
    <w:rsid w:val="25EC5D05"/>
    <w:rsid w:val="26582A69"/>
    <w:rsid w:val="276D6B43"/>
    <w:rsid w:val="277142EE"/>
    <w:rsid w:val="2803466B"/>
    <w:rsid w:val="28655297"/>
    <w:rsid w:val="28DC338C"/>
    <w:rsid w:val="2941740C"/>
    <w:rsid w:val="2A147E3B"/>
    <w:rsid w:val="2A31131B"/>
    <w:rsid w:val="2A700E57"/>
    <w:rsid w:val="2A976529"/>
    <w:rsid w:val="2AE35694"/>
    <w:rsid w:val="2B686AAA"/>
    <w:rsid w:val="2B7845AF"/>
    <w:rsid w:val="2B8829FC"/>
    <w:rsid w:val="2BB0572F"/>
    <w:rsid w:val="2C5E75C0"/>
    <w:rsid w:val="2D1001F0"/>
    <w:rsid w:val="2D2D73F0"/>
    <w:rsid w:val="2DF8426F"/>
    <w:rsid w:val="2E780E9F"/>
    <w:rsid w:val="2E942D20"/>
    <w:rsid w:val="2F454C77"/>
    <w:rsid w:val="30314CB3"/>
    <w:rsid w:val="30B9094C"/>
    <w:rsid w:val="30C00BC7"/>
    <w:rsid w:val="30E82645"/>
    <w:rsid w:val="310F6787"/>
    <w:rsid w:val="31414D49"/>
    <w:rsid w:val="31586D50"/>
    <w:rsid w:val="31BA3405"/>
    <w:rsid w:val="3238374F"/>
    <w:rsid w:val="32995CF1"/>
    <w:rsid w:val="33815613"/>
    <w:rsid w:val="35205C23"/>
    <w:rsid w:val="3552387E"/>
    <w:rsid w:val="358024D4"/>
    <w:rsid w:val="359D14B3"/>
    <w:rsid w:val="35B11A31"/>
    <w:rsid w:val="368A2987"/>
    <w:rsid w:val="36A56C3F"/>
    <w:rsid w:val="36B25A48"/>
    <w:rsid w:val="36B545EF"/>
    <w:rsid w:val="37242A05"/>
    <w:rsid w:val="3751174E"/>
    <w:rsid w:val="388F5F0B"/>
    <w:rsid w:val="392C148C"/>
    <w:rsid w:val="39B06FD9"/>
    <w:rsid w:val="39B65B77"/>
    <w:rsid w:val="3A6E739F"/>
    <w:rsid w:val="3A9C396A"/>
    <w:rsid w:val="3AFF1B5E"/>
    <w:rsid w:val="3B2D38F5"/>
    <w:rsid w:val="3B40776C"/>
    <w:rsid w:val="3B6405FB"/>
    <w:rsid w:val="3B896116"/>
    <w:rsid w:val="3C233167"/>
    <w:rsid w:val="3C665AB2"/>
    <w:rsid w:val="3DAA3C2F"/>
    <w:rsid w:val="3E203340"/>
    <w:rsid w:val="3EE473C2"/>
    <w:rsid w:val="3EF16D5A"/>
    <w:rsid w:val="3EFD63D7"/>
    <w:rsid w:val="3F2150E3"/>
    <w:rsid w:val="3F7C78A7"/>
    <w:rsid w:val="3F87214D"/>
    <w:rsid w:val="3FDA0F5D"/>
    <w:rsid w:val="3FE03CE2"/>
    <w:rsid w:val="402D1927"/>
    <w:rsid w:val="404D1449"/>
    <w:rsid w:val="40980F08"/>
    <w:rsid w:val="40E77100"/>
    <w:rsid w:val="4112306F"/>
    <w:rsid w:val="420E5EC6"/>
    <w:rsid w:val="421538F8"/>
    <w:rsid w:val="42563570"/>
    <w:rsid w:val="43104E14"/>
    <w:rsid w:val="43E46E13"/>
    <w:rsid w:val="43F4047B"/>
    <w:rsid w:val="446D3AB6"/>
    <w:rsid w:val="448D00B4"/>
    <w:rsid w:val="46540BB3"/>
    <w:rsid w:val="46E240FC"/>
    <w:rsid w:val="47715A4B"/>
    <w:rsid w:val="47E01BBD"/>
    <w:rsid w:val="49665820"/>
    <w:rsid w:val="497A2D6C"/>
    <w:rsid w:val="4AAD0439"/>
    <w:rsid w:val="4AEE3AAE"/>
    <w:rsid w:val="4B41572C"/>
    <w:rsid w:val="4B991FDC"/>
    <w:rsid w:val="4BFF64FC"/>
    <w:rsid w:val="4C71202C"/>
    <w:rsid w:val="4C7810EA"/>
    <w:rsid w:val="4CD53574"/>
    <w:rsid w:val="4CF82328"/>
    <w:rsid w:val="4D6943DC"/>
    <w:rsid w:val="4DE3395C"/>
    <w:rsid w:val="4DEA01C9"/>
    <w:rsid w:val="4F121D23"/>
    <w:rsid w:val="4F156F60"/>
    <w:rsid w:val="4F7C3D5E"/>
    <w:rsid w:val="4FFA37AF"/>
    <w:rsid w:val="5022187C"/>
    <w:rsid w:val="5072738D"/>
    <w:rsid w:val="508F687D"/>
    <w:rsid w:val="509F009E"/>
    <w:rsid w:val="50A27BDE"/>
    <w:rsid w:val="50CE5CFC"/>
    <w:rsid w:val="50FB2E7B"/>
    <w:rsid w:val="51114C78"/>
    <w:rsid w:val="51341D83"/>
    <w:rsid w:val="51C71C1F"/>
    <w:rsid w:val="5243053E"/>
    <w:rsid w:val="528138A6"/>
    <w:rsid w:val="528B6364"/>
    <w:rsid w:val="52AC237C"/>
    <w:rsid w:val="52E209FB"/>
    <w:rsid w:val="53043434"/>
    <w:rsid w:val="534D143C"/>
    <w:rsid w:val="53D077B3"/>
    <w:rsid w:val="54AC3E6C"/>
    <w:rsid w:val="55176E0C"/>
    <w:rsid w:val="553E0B7C"/>
    <w:rsid w:val="55A80DE5"/>
    <w:rsid w:val="56000EAC"/>
    <w:rsid w:val="56006786"/>
    <w:rsid w:val="569C081E"/>
    <w:rsid w:val="56C31815"/>
    <w:rsid w:val="56E7372F"/>
    <w:rsid w:val="57980CAB"/>
    <w:rsid w:val="585D52FB"/>
    <w:rsid w:val="5A0B4550"/>
    <w:rsid w:val="5A3B0686"/>
    <w:rsid w:val="5A6732A7"/>
    <w:rsid w:val="5A872445"/>
    <w:rsid w:val="5AE10BEE"/>
    <w:rsid w:val="5B0574CC"/>
    <w:rsid w:val="5B491261"/>
    <w:rsid w:val="5BCC4E29"/>
    <w:rsid w:val="5C837116"/>
    <w:rsid w:val="5C8C4AAC"/>
    <w:rsid w:val="5CCF2407"/>
    <w:rsid w:val="5D232127"/>
    <w:rsid w:val="5D3C37BE"/>
    <w:rsid w:val="5D5C6A44"/>
    <w:rsid w:val="5D9A6986"/>
    <w:rsid w:val="5DF241B7"/>
    <w:rsid w:val="5E0B7C99"/>
    <w:rsid w:val="5E3D2DDF"/>
    <w:rsid w:val="5FB9034B"/>
    <w:rsid w:val="5FC57711"/>
    <w:rsid w:val="603A28C2"/>
    <w:rsid w:val="60706D91"/>
    <w:rsid w:val="61677A03"/>
    <w:rsid w:val="62B03978"/>
    <w:rsid w:val="62D208DD"/>
    <w:rsid w:val="637707F8"/>
    <w:rsid w:val="646D5DDC"/>
    <w:rsid w:val="64936033"/>
    <w:rsid w:val="64B433E5"/>
    <w:rsid w:val="64BE5D59"/>
    <w:rsid w:val="65774F5E"/>
    <w:rsid w:val="65AC60F4"/>
    <w:rsid w:val="65B07B58"/>
    <w:rsid w:val="663B70AB"/>
    <w:rsid w:val="66406D65"/>
    <w:rsid w:val="66A83CD9"/>
    <w:rsid w:val="66BB49FF"/>
    <w:rsid w:val="66C44AB4"/>
    <w:rsid w:val="674F74C0"/>
    <w:rsid w:val="67834210"/>
    <w:rsid w:val="68BB2A92"/>
    <w:rsid w:val="696A6509"/>
    <w:rsid w:val="6A0044D4"/>
    <w:rsid w:val="6AA77192"/>
    <w:rsid w:val="6AB61B9D"/>
    <w:rsid w:val="6AE87664"/>
    <w:rsid w:val="6AF2631C"/>
    <w:rsid w:val="6BE903A5"/>
    <w:rsid w:val="6BF905B2"/>
    <w:rsid w:val="6C056F6E"/>
    <w:rsid w:val="6C470642"/>
    <w:rsid w:val="6C7A0E60"/>
    <w:rsid w:val="6CD92309"/>
    <w:rsid w:val="6CE304F4"/>
    <w:rsid w:val="6D006ACF"/>
    <w:rsid w:val="6D0C5126"/>
    <w:rsid w:val="6D561F05"/>
    <w:rsid w:val="6D5F2DEC"/>
    <w:rsid w:val="6DBC4D22"/>
    <w:rsid w:val="6DF91CB2"/>
    <w:rsid w:val="6EF7123B"/>
    <w:rsid w:val="6F4062CD"/>
    <w:rsid w:val="6F5B4664"/>
    <w:rsid w:val="6F69277E"/>
    <w:rsid w:val="6F8A4A0A"/>
    <w:rsid w:val="70835C9D"/>
    <w:rsid w:val="70FB2BA6"/>
    <w:rsid w:val="713759CB"/>
    <w:rsid w:val="715233EA"/>
    <w:rsid w:val="716C1C40"/>
    <w:rsid w:val="71971D7F"/>
    <w:rsid w:val="729C37C1"/>
    <w:rsid w:val="72C50203"/>
    <w:rsid w:val="72CA6952"/>
    <w:rsid w:val="72E203D4"/>
    <w:rsid w:val="72FB3280"/>
    <w:rsid w:val="730854CD"/>
    <w:rsid w:val="73570DCB"/>
    <w:rsid w:val="73BC5F41"/>
    <w:rsid w:val="741E50AC"/>
    <w:rsid w:val="74321C82"/>
    <w:rsid w:val="74553458"/>
    <w:rsid w:val="747674B0"/>
    <w:rsid w:val="758E0E8F"/>
    <w:rsid w:val="75AE2E82"/>
    <w:rsid w:val="75C64375"/>
    <w:rsid w:val="77C26E4B"/>
    <w:rsid w:val="78796B93"/>
    <w:rsid w:val="78ED232C"/>
    <w:rsid w:val="79E90175"/>
    <w:rsid w:val="79FF0ADD"/>
    <w:rsid w:val="7A0B4540"/>
    <w:rsid w:val="7A155ED3"/>
    <w:rsid w:val="7A2130C5"/>
    <w:rsid w:val="7AA760B2"/>
    <w:rsid w:val="7AB07545"/>
    <w:rsid w:val="7ADA70DF"/>
    <w:rsid w:val="7B102095"/>
    <w:rsid w:val="7C53793A"/>
    <w:rsid w:val="7C9413C4"/>
    <w:rsid w:val="7CCB6994"/>
    <w:rsid w:val="7D24560C"/>
    <w:rsid w:val="7DA71A0B"/>
    <w:rsid w:val="7DD45F58"/>
    <w:rsid w:val="7EB1381A"/>
    <w:rsid w:val="7EC040B4"/>
    <w:rsid w:val="7F155A8D"/>
    <w:rsid w:val="7FA03CF4"/>
    <w:rsid w:val="7FBE0995"/>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rFonts w:ascii="Calibri" w:hAnsi="Calibri"/>
      <w:b/>
      <w:bCs/>
      <w:kern w:val="44"/>
      <w:sz w:val="44"/>
      <w:szCs w:val="44"/>
    </w:rPr>
  </w:style>
  <w:style w:type="paragraph" w:styleId="5">
    <w:name w:val="heading 3"/>
    <w:basedOn w:val="1"/>
    <w:next w:val="1"/>
    <w:qFormat/>
    <w:uiPriority w:val="0"/>
    <w:pPr>
      <w:keepNext/>
      <w:keepLines/>
      <w:spacing w:before="260" w:after="260" w:line="416" w:lineRule="auto"/>
      <w:outlineLvl w:val="2"/>
    </w:pPr>
    <w:rPr>
      <w:rFonts w:ascii="Calibri" w:hAnsi="Calibri"/>
      <w:b/>
      <w:bCs/>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0"/>
    <w:pPr>
      <w:ind w:firstLine="420"/>
    </w:pPr>
    <w:rPr>
      <w:szCs w:val="20"/>
    </w:rPr>
  </w:style>
  <w:style w:type="paragraph" w:styleId="3">
    <w:name w:val="Body Text Indent"/>
    <w:basedOn w:val="1"/>
    <w:next w:val="2"/>
    <w:qFormat/>
    <w:uiPriority w:val="0"/>
    <w:pPr>
      <w:spacing w:line="560" w:lineRule="exact"/>
      <w:ind w:firstLine="640" w:firstLineChars="200"/>
    </w:pPr>
    <w:rPr>
      <w:sz w:val="32"/>
    </w:rPr>
  </w:style>
  <w:style w:type="paragraph" w:styleId="6">
    <w:name w:val="annotation text"/>
    <w:basedOn w:val="1"/>
    <w:link w:val="28"/>
    <w:qFormat/>
    <w:uiPriority w:val="0"/>
    <w:pPr>
      <w:jc w:val="left"/>
    </w:pPr>
  </w:style>
  <w:style w:type="paragraph" w:styleId="7">
    <w:name w:val="Body Text"/>
    <w:basedOn w:val="1"/>
    <w:next w:val="8"/>
    <w:qFormat/>
    <w:uiPriority w:val="0"/>
    <w:pPr>
      <w:spacing w:line="520" w:lineRule="exact"/>
    </w:pPr>
    <w:rPr>
      <w:rFonts w:ascii="仿宋_GB2312" w:eastAsia="仿宋_GB2312"/>
      <w:b/>
      <w:sz w:val="32"/>
    </w:rPr>
  </w:style>
  <w:style w:type="paragraph" w:customStyle="1" w:styleId="8">
    <w:name w:val="目录 11"/>
    <w:next w:val="1"/>
    <w:qFormat/>
    <w:uiPriority w:val="0"/>
    <w:pPr>
      <w:wordWrap w:val="0"/>
      <w:jc w:val="both"/>
    </w:pPr>
    <w:rPr>
      <w:rFonts w:ascii="Calibri" w:hAnsi="Calibri" w:eastAsia="宋体" w:cs="Times New Roman"/>
      <w:sz w:val="21"/>
      <w:szCs w:val="22"/>
      <w:lang w:val="en-US" w:eastAsia="zh-CN" w:bidi="ar-SA"/>
    </w:rPr>
  </w:style>
  <w:style w:type="paragraph" w:styleId="9">
    <w:name w:val="Plain Text"/>
    <w:basedOn w:val="1"/>
    <w:next w:val="1"/>
    <w:qFormat/>
    <w:uiPriority w:val="0"/>
    <w:rPr>
      <w:rFonts w:ascii="宋体" w:hAnsi="Courier New"/>
      <w:szCs w:val="21"/>
    </w:rPr>
  </w:style>
  <w:style w:type="paragraph" w:styleId="10">
    <w:name w:val="Body Text Indent 2"/>
    <w:basedOn w:val="1"/>
    <w:qFormat/>
    <w:uiPriority w:val="0"/>
    <w:pPr>
      <w:spacing w:line="560" w:lineRule="exact"/>
      <w:ind w:firstLine="643" w:firstLineChars="200"/>
    </w:pPr>
    <w:rPr>
      <w:rFonts w:eastAsia="仿宋_GB2312"/>
      <w:b/>
      <w:bCs/>
      <w:sz w:val="32"/>
    </w:rPr>
  </w:style>
  <w:style w:type="paragraph" w:styleId="11">
    <w:name w:val="Balloon Text"/>
    <w:basedOn w:val="1"/>
    <w:semiHidden/>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Body Text Indent 3"/>
    <w:basedOn w:val="1"/>
    <w:qFormat/>
    <w:uiPriority w:val="0"/>
    <w:pPr>
      <w:ind w:left="645"/>
    </w:pPr>
    <w:rPr>
      <w:rFonts w:ascii="仿宋_GB2312" w:eastAsia="仿宋_GB2312"/>
      <w:sz w:val="32"/>
    </w:rPr>
  </w:style>
  <w:style w:type="paragraph" w:styleId="15">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16">
    <w:name w:val="annotation subject"/>
    <w:basedOn w:val="6"/>
    <w:next w:val="6"/>
    <w:link w:val="29"/>
    <w:qFormat/>
    <w:uiPriority w:val="0"/>
    <w:rPr>
      <w:b/>
      <w:bCs/>
    </w:rPr>
  </w:style>
  <w:style w:type="paragraph" w:styleId="17">
    <w:name w:val="Body Text First Indent"/>
    <w:basedOn w:val="7"/>
    <w:qFormat/>
    <w:uiPriority w:val="99"/>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qFormat/>
    <w:uiPriority w:val="0"/>
    <w:rPr>
      <w:b/>
      <w:bCs/>
    </w:rPr>
  </w:style>
  <w:style w:type="character" w:styleId="22">
    <w:name w:val="page number"/>
    <w:qFormat/>
    <w:uiPriority w:val="0"/>
  </w:style>
  <w:style w:type="character" w:styleId="23">
    <w:name w:val="FollowedHyperlink"/>
    <w:qFormat/>
    <w:uiPriority w:val="0"/>
    <w:rPr>
      <w:color w:val="333333"/>
      <w:u w:val="none"/>
    </w:rPr>
  </w:style>
  <w:style w:type="character" w:styleId="24">
    <w:name w:val="Emphasis"/>
    <w:qFormat/>
    <w:uiPriority w:val="0"/>
  </w:style>
  <w:style w:type="character" w:styleId="25">
    <w:name w:val="Hyperlink"/>
    <w:qFormat/>
    <w:uiPriority w:val="0"/>
    <w:rPr>
      <w:color w:val="333333"/>
      <w:u w:val="none"/>
    </w:rPr>
  </w:style>
  <w:style w:type="character" w:styleId="26">
    <w:name w:val="annotation reference"/>
    <w:qFormat/>
    <w:uiPriority w:val="0"/>
    <w:rPr>
      <w:sz w:val="21"/>
      <w:szCs w:val="21"/>
    </w:rPr>
  </w:style>
  <w:style w:type="paragraph" w:customStyle="1" w:styleId="27">
    <w:name w:val="Char Char11 Char Char"/>
    <w:basedOn w:val="1"/>
    <w:qFormat/>
    <w:uiPriority w:val="0"/>
  </w:style>
  <w:style w:type="character" w:customStyle="1" w:styleId="28">
    <w:name w:val="批注文字 Char"/>
    <w:link w:val="6"/>
    <w:qFormat/>
    <w:uiPriority w:val="0"/>
    <w:rPr>
      <w:kern w:val="2"/>
      <w:sz w:val="21"/>
      <w:szCs w:val="24"/>
    </w:rPr>
  </w:style>
  <w:style w:type="character" w:customStyle="1" w:styleId="29">
    <w:name w:val="批注主题 Char"/>
    <w:link w:val="16"/>
    <w:qFormat/>
    <w:uiPriority w:val="0"/>
    <w:rPr>
      <w:b/>
      <w:bCs/>
      <w:kern w:val="2"/>
      <w:sz w:val="21"/>
      <w:szCs w:val="24"/>
    </w:rPr>
  </w:style>
  <w:style w:type="paragraph" w:customStyle="1" w:styleId="30">
    <w:name w:val="Char"/>
    <w:basedOn w:val="1"/>
    <w:qFormat/>
    <w:uiPriority w:val="0"/>
    <w:rPr>
      <w:szCs w:val="20"/>
    </w:rPr>
  </w:style>
  <w:style w:type="paragraph" w:styleId="31">
    <w:name w:val="List Paragraph"/>
    <w:basedOn w:val="1"/>
    <w:qFormat/>
    <w:uiPriority w:val="0"/>
    <w:pPr>
      <w:widowControl/>
      <w:ind w:firstLine="420" w:firstLineChars="200"/>
      <w:jc w:val="left"/>
    </w:pPr>
    <w:rPr>
      <w:rFonts w:ascii="宋体" w:hAnsi="宋体" w:cs="宋体"/>
      <w:kern w:val="0"/>
      <w:sz w:val="24"/>
    </w:rPr>
  </w:style>
  <w:style w:type="paragraph" w:customStyle="1" w:styleId="32">
    <w:name w:val="Char1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3">
    <w:name w:val="_Style 32"/>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asd.ltd.co</Company>
  <Pages>18</Pages>
  <Words>9172</Words>
  <Characters>9258</Characters>
  <Lines>67</Lines>
  <Paragraphs>19</Paragraphs>
  <TotalTime>38</TotalTime>
  <ScaleCrop>false</ScaleCrop>
  <LinksUpToDate>false</LinksUpToDate>
  <CharactersWithSpaces>9379</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2022-12-03T08:25:00Z</dcterms:created>
  <dc:creator>tzz</dc:creator>
  <cp:lastModifiedBy>Administrator</cp:lastModifiedBy>
  <cp:lastPrinted>2022-12-01T02:51:00Z</cp:lastPrinted>
  <dcterms:modified xsi:type="dcterms:W3CDTF">2023-01-05T06:47:40Z</dcterms:modified>
  <dc:title>关于认真做好当前经济工作的通知</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AEE3858A24C84B8896DA24D7CE276180</vt:lpwstr>
  </property>
</Properties>
</file>